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61ADA035" w:rsidR="00986E8B" w:rsidRPr="008D68B5" w:rsidRDefault="004E3C76" w:rsidP="008B3A8B">
      <w:pPr>
        <w:pStyle w:val="paragraph"/>
        <w:spacing w:before="0" w:beforeAutospacing="0" w:after="0" w:afterAutospacing="0"/>
        <w:ind w:left="-142" w:right="-234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lang w:val="es-ES"/>
        </w:rPr>
      </w:pPr>
      <w:r w:rsidRPr="008D68B5">
        <w:rPr>
          <w:rStyle w:val="normaltextrun"/>
          <w:rFonts w:ascii="Arial" w:hAnsi="Arial" w:cs="Arial"/>
          <w:b/>
          <w:bCs/>
          <w:sz w:val="22"/>
          <w:lang w:val="es-ES"/>
        </w:rPr>
        <w:t>AUDIENCIA</w:t>
      </w:r>
    </w:p>
    <w:p w14:paraId="08B771B7" w14:textId="0DE79902" w:rsidR="00986E8B" w:rsidRPr="008D68B5" w:rsidRDefault="00986E8B" w:rsidP="008B3A8B">
      <w:pPr>
        <w:pStyle w:val="Textoindependiente"/>
        <w:spacing w:before="142"/>
        <w:ind w:left="-142" w:right="-234"/>
        <w:jc w:val="both"/>
        <w:rPr>
          <w:sz w:val="22"/>
        </w:rPr>
      </w:pPr>
      <w:r w:rsidRPr="008D68B5">
        <w:rPr>
          <w:sz w:val="22"/>
        </w:rPr>
        <w:t xml:space="preserve">La </w:t>
      </w:r>
      <w:r w:rsidR="004E3C76" w:rsidRPr="008D68B5">
        <w:rPr>
          <w:rStyle w:val="normaltextrun"/>
          <w:bCs/>
          <w:sz w:val="22"/>
        </w:rPr>
        <w:t>Dirección General del Servicio Profesional de Carrera</w:t>
      </w:r>
      <w:r w:rsidR="006A2862" w:rsidRPr="008D68B5">
        <w:rPr>
          <w:sz w:val="22"/>
        </w:rPr>
        <w:t xml:space="preserve"> </w:t>
      </w:r>
      <w:r w:rsidRPr="008D68B5">
        <w:rPr>
          <w:sz w:val="22"/>
        </w:rPr>
        <w:t xml:space="preserve">de la Fiscalía General del Estado de San Luis Potosí, es la responsable del tratamiento de los datos personales que proporcione. </w:t>
      </w:r>
    </w:p>
    <w:p w14:paraId="100F8CDF" w14:textId="77777777" w:rsidR="008D68B5" w:rsidRPr="008D68B5" w:rsidRDefault="008D68B5" w:rsidP="008D68B5">
      <w:pPr>
        <w:pStyle w:val="Textoindependiente"/>
        <w:tabs>
          <w:tab w:val="left" w:pos="4234"/>
        </w:tabs>
        <w:spacing w:before="159" w:line="276" w:lineRule="auto"/>
        <w:jc w:val="center"/>
        <w:rPr>
          <w:b/>
          <w:sz w:val="22"/>
        </w:rPr>
      </w:pPr>
      <w:r w:rsidRPr="008D68B5">
        <w:rPr>
          <w:b/>
          <w:sz w:val="22"/>
        </w:rPr>
        <w:t>FINALIDAD</w:t>
      </w:r>
    </w:p>
    <w:p w14:paraId="3F9C0C52" w14:textId="77777777" w:rsidR="008D68B5" w:rsidRPr="008D68B5" w:rsidRDefault="008D68B5" w:rsidP="008D68B5">
      <w:pPr>
        <w:pStyle w:val="Textoindependiente"/>
        <w:tabs>
          <w:tab w:val="left" w:pos="4234"/>
        </w:tabs>
        <w:spacing w:before="159" w:line="276" w:lineRule="auto"/>
        <w:jc w:val="both"/>
        <w:rPr>
          <w:b/>
          <w:sz w:val="22"/>
        </w:rPr>
      </w:pPr>
      <w:bookmarkStart w:id="0" w:name="_Hlk213676115"/>
      <w:r w:rsidRPr="008D68B5">
        <w:rPr>
          <w:sz w:val="22"/>
        </w:rPr>
        <w:t>Los datos personales que recabamos serán utilizados exclusivamente en la substanciación del procedimiento administrativo de separación y/o remoción y que no requieren de su consentimiento, conforme a las siguientes finalidades:</w:t>
      </w:r>
    </w:p>
    <w:bookmarkEnd w:id="0"/>
    <w:p w14:paraId="6091804D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Verificar la identidad de las personas interesadas en los procedimientos administrativos de separación y/o remoción.</w:t>
      </w:r>
    </w:p>
    <w:p w14:paraId="48F3F3FF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Confirmar la identidad de las personas interesadas, conforme a la documentación presentada.</w:t>
      </w:r>
    </w:p>
    <w:p w14:paraId="51E4584D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Integrar los expedientes administrativos correspondientes a los procedimientos de separación y/o remoción.</w:t>
      </w:r>
    </w:p>
    <w:p w14:paraId="401C5392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Registrar las solicitudes, recursos o impugnaciones presentadas por las personas interesadas.</w:t>
      </w:r>
    </w:p>
    <w:p w14:paraId="19BEDA76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Dar seguimiento a las solicitudes, recursos o impugnaciones hasta su conclusión.</w:t>
      </w:r>
    </w:p>
    <w:p w14:paraId="49CFB337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Emitir los citatorios, resoluciones, acuerdos y demás actos administrativos derivados del procedimiento.</w:t>
      </w:r>
    </w:p>
    <w:p w14:paraId="401B105C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Comunicar los cambios, requerimientos o aclaraciones necesarias para la continuidad del trámite.</w:t>
      </w:r>
    </w:p>
    <w:p w14:paraId="694F68EB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Elaborar reportes estadísticos sobre los procedimientos administrativos atendidos.</w:t>
      </w:r>
    </w:p>
    <w:p w14:paraId="2678F4DC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Generar indicadores de desempeño y análisis sobre la carga de trabajo del área responsable.</w:t>
      </w:r>
    </w:p>
    <w:p w14:paraId="09566E92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Implementar medidas de mejora continua en los servicios institucionales.</w:t>
      </w:r>
    </w:p>
    <w:p w14:paraId="53DC97ED" w14:textId="77777777" w:rsidR="008D68B5" w:rsidRPr="008D68B5" w:rsidRDefault="008D68B5" w:rsidP="008D68B5">
      <w:pPr>
        <w:pStyle w:val="NormalWeb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</w:rPr>
      </w:pPr>
      <w:r w:rsidRPr="008D68B5">
        <w:rPr>
          <w:rFonts w:ascii="Arial" w:hAnsi="Arial" w:cs="Arial"/>
          <w:sz w:val="22"/>
        </w:rPr>
        <w:t>Aplicar acciones de calidad institucional, garantizando la disociación de la información personal.</w:t>
      </w:r>
    </w:p>
    <w:p w14:paraId="2DA728F7" w14:textId="77777777" w:rsidR="008D68B5" w:rsidRPr="008D68B5" w:rsidRDefault="008D68B5" w:rsidP="008D68B5">
      <w:pPr>
        <w:jc w:val="center"/>
        <w:rPr>
          <w:rFonts w:ascii="Arial" w:hAnsi="Arial" w:cs="Arial"/>
          <w:b/>
          <w:szCs w:val="24"/>
        </w:rPr>
      </w:pPr>
      <w:r w:rsidRPr="008D68B5">
        <w:rPr>
          <w:rFonts w:ascii="Arial" w:hAnsi="Arial" w:cs="Arial"/>
          <w:b/>
          <w:szCs w:val="24"/>
        </w:rPr>
        <w:t>DATOS PERSONALES RECABADOS</w:t>
      </w:r>
    </w:p>
    <w:p w14:paraId="00DB607B" w14:textId="77777777" w:rsidR="008D68B5" w:rsidRPr="008D68B5" w:rsidRDefault="008D68B5" w:rsidP="008D68B5">
      <w:pPr>
        <w:pStyle w:val="Ttulo3"/>
        <w:spacing w:line="276" w:lineRule="auto"/>
        <w:ind w:left="0"/>
        <w:jc w:val="both"/>
        <w:rPr>
          <w:b w:val="0"/>
          <w:sz w:val="22"/>
        </w:rPr>
      </w:pPr>
      <w:r w:rsidRPr="008D68B5">
        <w:rPr>
          <w:b w:val="0"/>
          <w:sz w:val="22"/>
        </w:rPr>
        <w:t>Para las finalidades antes señaladas se solicitan los siguientes datos personales:</w:t>
      </w:r>
    </w:p>
    <w:p w14:paraId="702448B2" w14:textId="77777777" w:rsidR="00A11933" w:rsidRPr="008D68B5" w:rsidRDefault="008D68B5" w:rsidP="008D68B5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</w:rPr>
      </w:pPr>
      <w:r w:rsidRPr="008D68B5">
        <w:rPr>
          <w:b w:val="0"/>
          <w:sz w:val="22"/>
        </w:rPr>
        <w:t xml:space="preserve">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A11933" w:rsidRPr="00D618A1" w14:paraId="03AC4E33" w14:textId="77777777" w:rsidTr="00212261">
        <w:tc>
          <w:tcPr>
            <w:tcW w:w="4957" w:type="dxa"/>
          </w:tcPr>
          <w:p w14:paraId="3B05D58B" w14:textId="77777777" w:rsidR="00A11933" w:rsidRPr="00D618A1" w:rsidRDefault="00A11933" w:rsidP="0021226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13677209"/>
            <w:r w:rsidRPr="00D618A1">
              <w:rPr>
                <w:b/>
              </w:rPr>
              <w:t>Datos personales</w:t>
            </w:r>
          </w:p>
        </w:tc>
        <w:tc>
          <w:tcPr>
            <w:tcW w:w="4536" w:type="dxa"/>
          </w:tcPr>
          <w:p w14:paraId="69DDF927" w14:textId="77777777" w:rsidR="00A11933" w:rsidRPr="00D618A1" w:rsidRDefault="00A11933" w:rsidP="0021226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618A1">
              <w:rPr>
                <w:b/>
              </w:rPr>
              <w:t>Datos personales sensibles</w:t>
            </w:r>
          </w:p>
        </w:tc>
      </w:tr>
      <w:tr w:rsidR="00A11933" w:rsidRPr="00D618A1" w14:paraId="629168AF" w14:textId="77777777" w:rsidTr="00212261">
        <w:tc>
          <w:tcPr>
            <w:tcW w:w="4957" w:type="dxa"/>
          </w:tcPr>
          <w:p w14:paraId="0440A5C4" w14:textId="77777777" w:rsidR="00A11933" w:rsidRPr="00D618A1" w:rsidRDefault="00A11933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>Nombres y apellidos</w:t>
            </w:r>
          </w:p>
        </w:tc>
        <w:tc>
          <w:tcPr>
            <w:tcW w:w="4536" w:type="dxa"/>
          </w:tcPr>
          <w:p w14:paraId="3F23FC43" w14:textId="77777777" w:rsidR="00A11933" w:rsidRPr="00D618A1" w:rsidRDefault="00A11933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Incapacidades</w:t>
            </w:r>
          </w:p>
        </w:tc>
      </w:tr>
      <w:tr w:rsidR="00D618A1" w:rsidRPr="00D618A1" w14:paraId="36C3084C" w14:textId="77777777" w:rsidTr="00212261">
        <w:tc>
          <w:tcPr>
            <w:tcW w:w="4957" w:type="dxa"/>
          </w:tcPr>
          <w:p w14:paraId="7F69F350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Número de empleado o de registro interno.</w:t>
            </w:r>
          </w:p>
        </w:tc>
        <w:tc>
          <w:tcPr>
            <w:tcW w:w="4536" w:type="dxa"/>
            <w:vMerge w:val="restart"/>
          </w:tcPr>
          <w:p w14:paraId="1EA839ED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 xml:space="preserve">Averiguaciones previas o carpetas de investigación, demandas, arrestos.  </w:t>
            </w:r>
          </w:p>
        </w:tc>
      </w:tr>
      <w:tr w:rsidR="00D618A1" w:rsidRPr="00D618A1" w14:paraId="56439D92" w14:textId="77777777" w:rsidTr="00212261">
        <w:tc>
          <w:tcPr>
            <w:tcW w:w="4957" w:type="dxa"/>
          </w:tcPr>
          <w:p w14:paraId="73222539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>Domicilio particular y/ domicilio fiscal (localidad, estado, municipio, calle y numero, código postal y colonia)</w:t>
            </w:r>
          </w:p>
        </w:tc>
        <w:tc>
          <w:tcPr>
            <w:tcW w:w="4536" w:type="dxa"/>
            <w:vMerge/>
          </w:tcPr>
          <w:p w14:paraId="7FFADED5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470305FE" w14:textId="77777777" w:rsidTr="00212261">
        <w:tc>
          <w:tcPr>
            <w:tcW w:w="4957" w:type="dxa"/>
          </w:tcPr>
          <w:p w14:paraId="7B00BE2E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>Teléfono móvil</w:t>
            </w:r>
          </w:p>
        </w:tc>
        <w:tc>
          <w:tcPr>
            <w:tcW w:w="4536" w:type="dxa"/>
            <w:vMerge/>
          </w:tcPr>
          <w:p w14:paraId="668CEA3D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19154BD3" w14:textId="77777777" w:rsidTr="00212261">
        <w:tc>
          <w:tcPr>
            <w:tcW w:w="4957" w:type="dxa"/>
          </w:tcPr>
          <w:p w14:paraId="5A09C753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>Correo electrónico</w:t>
            </w:r>
          </w:p>
        </w:tc>
        <w:tc>
          <w:tcPr>
            <w:tcW w:w="4536" w:type="dxa"/>
            <w:vMerge/>
          </w:tcPr>
          <w:p w14:paraId="4430A420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019A149B" w14:textId="77777777" w:rsidTr="00212261">
        <w:tc>
          <w:tcPr>
            <w:tcW w:w="4957" w:type="dxa"/>
          </w:tcPr>
          <w:p w14:paraId="610A9C37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>Clave Única de Registro de Población (CURP)</w:t>
            </w:r>
          </w:p>
        </w:tc>
        <w:tc>
          <w:tcPr>
            <w:tcW w:w="4536" w:type="dxa"/>
            <w:vMerge/>
          </w:tcPr>
          <w:p w14:paraId="6F17DD84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458BB01A" w14:textId="77777777" w:rsidTr="00212261">
        <w:tc>
          <w:tcPr>
            <w:tcW w:w="4957" w:type="dxa"/>
          </w:tcPr>
          <w:p w14:paraId="0F153755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>Información laboral</w:t>
            </w:r>
          </w:p>
        </w:tc>
        <w:tc>
          <w:tcPr>
            <w:tcW w:w="4536" w:type="dxa"/>
            <w:vMerge/>
          </w:tcPr>
          <w:p w14:paraId="3BF8741F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231D4B3C" w14:textId="77777777" w:rsidTr="00212261">
        <w:tc>
          <w:tcPr>
            <w:tcW w:w="4957" w:type="dxa"/>
          </w:tcPr>
          <w:p w14:paraId="1AEFA7B8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>Estado civil</w:t>
            </w:r>
          </w:p>
        </w:tc>
        <w:tc>
          <w:tcPr>
            <w:tcW w:w="4536" w:type="dxa"/>
            <w:vMerge/>
          </w:tcPr>
          <w:p w14:paraId="77020240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6E407209" w14:textId="77777777" w:rsidTr="00212261">
        <w:tc>
          <w:tcPr>
            <w:tcW w:w="4957" w:type="dxa"/>
          </w:tcPr>
          <w:p w14:paraId="35DC0B8C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  <w:r w:rsidRPr="00D618A1">
              <w:t>Lugar y fecha de nacimiento</w:t>
            </w:r>
          </w:p>
        </w:tc>
        <w:tc>
          <w:tcPr>
            <w:tcW w:w="4536" w:type="dxa"/>
            <w:vMerge/>
          </w:tcPr>
          <w:p w14:paraId="55B3D007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4567EFC1" w14:textId="77777777" w:rsidTr="00212261">
        <w:tc>
          <w:tcPr>
            <w:tcW w:w="4957" w:type="dxa"/>
          </w:tcPr>
          <w:p w14:paraId="3963A6C6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Puesto o cargo que ocupa.</w:t>
            </w:r>
          </w:p>
        </w:tc>
        <w:tc>
          <w:tcPr>
            <w:tcW w:w="4536" w:type="dxa"/>
            <w:vMerge/>
          </w:tcPr>
          <w:p w14:paraId="3F01DC29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0684AEDC" w14:textId="77777777" w:rsidTr="00212261">
        <w:tc>
          <w:tcPr>
            <w:tcW w:w="4957" w:type="dxa"/>
          </w:tcPr>
          <w:p w14:paraId="3F65974E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Nivel, rango, categoría o código del puesto</w:t>
            </w:r>
          </w:p>
        </w:tc>
        <w:tc>
          <w:tcPr>
            <w:tcW w:w="4536" w:type="dxa"/>
            <w:vMerge/>
          </w:tcPr>
          <w:p w14:paraId="376A5D29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5BCBFEF4" w14:textId="77777777" w:rsidTr="00212261">
        <w:tc>
          <w:tcPr>
            <w:tcW w:w="4957" w:type="dxa"/>
          </w:tcPr>
          <w:p w14:paraId="2B34F3E8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Área, unidad administrativa, dirección o departamento de adscripción.</w:t>
            </w:r>
          </w:p>
        </w:tc>
        <w:tc>
          <w:tcPr>
            <w:tcW w:w="4536" w:type="dxa"/>
            <w:vMerge/>
          </w:tcPr>
          <w:p w14:paraId="297DD7C9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26D61654" w14:textId="77777777" w:rsidTr="00212261">
        <w:tc>
          <w:tcPr>
            <w:tcW w:w="4957" w:type="dxa"/>
          </w:tcPr>
          <w:p w14:paraId="3C00B4AD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Fecha de ingreso a la institución o dependencia.</w:t>
            </w:r>
          </w:p>
        </w:tc>
        <w:tc>
          <w:tcPr>
            <w:tcW w:w="4536" w:type="dxa"/>
            <w:vMerge/>
          </w:tcPr>
          <w:p w14:paraId="0220291E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7404C615" w14:textId="77777777" w:rsidTr="00212261">
        <w:tc>
          <w:tcPr>
            <w:tcW w:w="4957" w:type="dxa"/>
          </w:tcPr>
          <w:p w14:paraId="7E23515B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Tipo de nombramiento, contrato o designación.</w:t>
            </w:r>
          </w:p>
        </w:tc>
        <w:tc>
          <w:tcPr>
            <w:tcW w:w="4536" w:type="dxa"/>
            <w:vMerge/>
          </w:tcPr>
          <w:p w14:paraId="2BF513C9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4CF774F6" w14:textId="77777777" w:rsidTr="00212261">
        <w:tc>
          <w:tcPr>
            <w:tcW w:w="4957" w:type="dxa"/>
          </w:tcPr>
          <w:p w14:paraId="762FF914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lastRenderedPageBreak/>
              <w:t>Régimen laboral o jurídico aplicable (por ejemplo, de base, confianza, eventual o por honorarios).</w:t>
            </w:r>
          </w:p>
        </w:tc>
        <w:tc>
          <w:tcPr>
            <w:tcW w:w="4536" w:type="dxa"/>
            <w:vMerge/>
          </w:tcPr>
          <w:p w14:paraId="2973725F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40276E8A" w14:textId="77777777" w:rsidTr="00212261">
        <w:tc>
          <w:tcPr>
            <w:tcW w:w="4957" w:type="dxa"/>
          </w:tcPr>
          <w:p w14:paraId="4C4EE206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Horario de servicio o jornada</w:t>
            </w:r>
          </w:p>
        </w:tc>
        <w:tc>
          <w:tcPr>
            <w:tcW w:w="4536" w:type="dxa"/>
            <w:vMerge/>
          </w:tcPr>
          <w:p w14:paraId="0941E629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1AB7998F" w14:textId="77777777" w:rsidTr="00212261">
        <w:tc>
          <w:tcPr>
            <w:tcW w:w="4957" w:type="dxa"/>
          </w:tcPr>
          <w:p w14:paraId="43C86E16" w14:textId="77777777" w:rsidR="00D618A1" w:rsidRPr="00D618A1" w:rsidRDefault="00D618A1" w:rsidP="002122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Clave presupuestal</w:t>
            </w:r>
          </w:p>
        </w:tc>
        <w:tc>
          <w:tcPr>
            <w:tcW w:w="4536" w:type="dxa"/>
            <w:vMerge/>
          </w:tcPr>
          <w:p w14:paraId="7B34268B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2C507240" w14:textId="77777777" w:rsidTr="00212261">
        <w:tc>
          <w:tcPr>
            <w:tcW w:w="4957" w:type="dxa"/>
          </w:tcPr>
          <w:p w14:paraId="108ACE8E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Sueldo o percepción bruta y neta</w:t>
            </w:r>
          </w:p>
        </w:tc>
        <w:tc>
          <w:tcPr>
            <w:tcW w:w="4536" w:type="dxa"/>
            <w:vMerge/>
          </w:tcPr>
          <w:p w14:paraId="3822DBA1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47750BCA" w14:textId="77777777" w:rsidTr="00212261">
        <w:tc>
          <w:tcPr>
            <w:tcW w:w="4957" w:type="dxa"/>
          </w:tcPr>
          <w:p w14:paraId="253BD506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Tiempo de servicio </w:t>
            </w:r>
          </w:p>
        </w:tc>
        <w:tc>
          <w:tcPr>
            <w:tcW w:w="4536" w:type="dxa"/>
            <w:vMerge/>
          </w:tcPr>
          <w:p w14:paraId="0367FD82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22F18207" w14:textId="77777777" w:rsidTr="00212261">
        <w:tc>
          <w:tcPr>
            <w:tcW w:w="4957" w:type="dxa"/>
          </w:tcPr>
          <w:p w14:paraId="70521A9F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Fechas de inasistencias  </w:t>
            </w:r>
          </w:p>
        </w:tc>
        <w:tc>
          <w:tcPr>
            <w:tcW w:w="4536" w:type="dxa"/>
            <w:vMerge/>
          </w:tcPr>
          <w:p w14:paraId="18D44897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1EBDE0AC" w14:textId="77777777" w:rsidTr="00212261">
        <w:tc>
          <w:tcPr>
            <w:tcW w:w="4957" w:type="dxa"/>
          </w:tcPr>
          <w:p w14:paraId="261610B9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Méritos </w:t>
            </w:r>
          </w:p>
        </w:tc>
        <w:tc>
          <w:tcPr>
            <w:tcW w:w="4536" w:type="dxa"/>
            <w:vMerge/>
          </w:tcPr>
          <w:p w14:paraId="378C5C4E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28BF4870" w14:textId="77777777" w:rsidTr="00212261">
        <w:tc>
          <w:tcPr>
            <w:tcW w:w="4957" w:type="dxa"/>
          </w:tcPr>
          <w:p w14:paraId="7560F322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Reingresos </w:t>
            </w:r>
          </w:p>
        </w:tc>
        <w:tc>
          <w:tcPr>
            <w:tcW w:w="4536" w:type="dxa"/>
            <w:vMerge/>
          </w:tcPr>
          <w:p w14:paraId="235C5896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501AD6B7" w14:textId="77777777" w:rsidTr="00212261">
        <w:tc>
          <w:tcPr>
            <w:tcW w:w="4957" w:type="dxa"/>
          </w:tcPr>
          <w:p w14:paraId="4D4AB146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Suspensiones </w:t>
            </w:r>
          </w:p>
        </w:tc>
        <w:tc>
          <w:tcPr>
            <w:tcW w:w="4536" w:type="dxa"/>
            <w:vMerge/>
          </w:tcPr>
          <w:p w14:paraId="457FBA4C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78788483" w14:textId="77777777" w:rsidTr="00212261">
        <w:tc>
          <w:tcPr>
            <w:tcW w:w="4957" w:type="dxa"/>
          </w:tcPr>
          <w:p w14:paraId="30AC13E8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Sanciones </w:t>
            </w:r>
          </w:p>
        </w:tc>
        <w:tc>
          <w:tcPr>
            <w:tcW w:w="4536" w:type="dxa"/>
            <w:vMerge/>
          </w:tcPr>
          <w:p w14:paraId="5484748F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549A8975" w14:textId="77777777" w:rsidTr="00212261">
        <w:tc>
          <w:tcPr>
            <w:tcW w:w="4957" w:type="dxa"/>
          </w:tcPr>
          <w:p w14:paraId="42808B61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Investigaciones </w:t>
            </w:r>
          </w:p>
        </w:tc>
        <w:tc>
          <w:tcPr>
            <w:tcW w:w="4536" w:type="dxa"/>
            <w:vMerge/>
          </w:tcPr>
          <w:p w14:paraId="586FD065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67DB61F1" w14:textId="77777777" w:rsidTr="00212261">
        <w:tc>
          <w:tcPr>
            <w:tcW w:w="4957" w:type="dxa"/>
          </w:tcPr>
          <w:p w14:paraId="47983461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Procedimientos administrativos </w:t>
            </w:r>
          </w:p>
        </w:tc>
        <w:tc>
          <w:tcPr>
            <w:tcW w:w="4536" w:type="dxa"/>
            <w:vMerge/>
          </w:tcPr>
          <w:p w14:paraId="351E5624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2D6E7B32" w14:textId="77777777" w:rsidTr="00212261">
        <w:tc>
          <w:tcPr>
            <w:tcW w:w="4957" w:type="dxa"/>
          </w:tcPr>
          <w:p w14:paraId="66494399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Altas, bajas, cambios o comisiones</w:t>
            </w:r>
          </w:p>
        </w:tc>
        <w:tc>
          <w:tcPr>
            <w:tcW w:w="4536" w:type="dxa"/>
            <w:vMerge/>
          </w:tcPr>
          <w:p w14:paraId="23B337C0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3AA9F398" w14:textId="77777777" w:rsidTr="00212261">
        <w:tc>
          <w:tcPr>
            <w:tcW w:w="4957" w:type="dxa"/>
          </w:tcPr>
          <w:p w14:paraId="0278FAB8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Motivo del levantamiento del acta</w:t>
            </w:r>
          </w:p>
        </w:tc>
        <w:tc>
          <w:tcPr>
            <w:tcW w:w="4536" w:type="dxa"/>
            <w:vMerge/>
          </w:tcPr>
          <w:p w14:paraId="7637183E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69284CB5" w14:textId="77777777" w:rsidTr="00212261">
        <w:tc>
          <w:tcPr>
            <w:tcW w:w="4957" w:type="dxa"/>
          </w:tcPr>
          <w:p w14:paraId="24F2DC5F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>Nombre y firma de los intervinientes</w:t>
            </w:r>
          </w:p>
        </w:tc>
        <w:tc>
          <w:tcPr>
            <w:tcW w:w="4536" w:type="dxa"/>
            <w:vMerge/>
          </w:tcPr>
          <w:p w14:paraId="13FCED4D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18A1" w:rsidRPr="00D618A1" w14:paraId="5F89097C" w14:textId="77777777" w:rsidTr="00212261">
        <w:tc>
          <w:tcPr>
            <w:tcW w:w="4957" w:type="dxa"/>
          </w:tcPr>
          <w:p w14:paraId="4A139C43" w14:textId="77777777" w:rsidR="00D618A1" w:rsidRPr="00D618A1" w:rsidRDefault="00D618A1" w:rsidP="00212261">
            <w:pPr>
              <w:jc w:val="both"/>
              <w:rPr>
                <w:rFonts w:ascii="Arial" w:hAnsi="Arial" w:cs="Arial"/>
              </w:rPr>
            </w:pPr>
            <w:r w:rsidRPr="00D618A1">
              <w:rPr>
                <w:rFonts w:ascii="Arial" w:hAnsi="Arial" w:cs="Arial"/>
              </w:rPr>
              <w:t xml:space="preserve">Comisiones </w:t>
            </w:r>
          </w:p>
        </w:tc>
        <w:tc>
          <w:tcPr>
            <w:tcW w:w="4536" w:type="dxa"/>
            <w:vMerge/>
          </w:tcPr>
          <w:p w14:paraId="6D5E8E61" w14:textId="77777777" w:rsidR="00D618A1" w:rsidRPr="00D618A1" w:rsidRDefault="00D618A1" w:rsidP="00212261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1"/>
    </w:tbl>
    <w:p w14:paraId="2E572202" w14:textId="77777777" w:rsidR="008D68B5" w:rsidRPr="008D68B5" w:rsidRDefault="008D68B5" w:rsidP="008D68B5">
      <w:pPr>
        <w:jc w:val="both"/>
        <w:rPr>
          <w:rFonts w:ascii="Arial" w:hAnsi="Arial" w:cs="Arial"/>
          <w:szCs w:val="24"/>
          <w:lang w:val="es-ES"/>
        </w:rPr>
      </w:pPr>
    </w:p>
    <w:p w14:paraId="5FC0831D" w14:textId="77777777" w:rsidR="008D68B5" w:rsidRPr="008D68B5" w:rsidRDefault="008D68B5" w:rsidP="008D68B5">
      <w:pPr>
        <w:jc w:val="center"/>
        <w:rPr>
          <w:rFonts w:ascii="Arial" w:hAnsi="Arial" w:cs="Arial"/>
          <w:b/>
          <w:szCs w:val="24"/>
          <w:lang w:val="es-ES"/>
        </w:rPr>
      </w:pPr>
      <w:r w:rsidRPr="008D68B5">
        <w:rPr>
          <w:rFonts w:ascii="Arial" w:hAnsi="Arial" w:cs="Arial"/>
          <w:b/>
          <w:szCs w:val="24"/>
          <w:lang w:val="es-ES"/>
        </w:rPr>
        <w:t>TRANSFERENCIAS</w:t>
      </w:r>
    </w:p>
    <w:p w14:paraId="7772C7F3" w14:textId="77777777" w:rsidR="008D68B5" w:rsidRPr="008D68B5" w:rsidRDefault="008D68B5" w:rsidP="008D68B5">
      <w:pPr>
        <w:jc w:val="both"/>
        <w:rPr>
          <w:rFonts w:ascii="Arial" w:hAnsi="Arial" w:cs="Arial"/>
          <w:b/>
          <w:szCs w:val="24"/>
        </w:rPr>
      </w:pPr>
      <w:r w:rsidRPr="008D68B5">
        <w:rPr>
          <w:rFonts w:ascii="Arial" w:hAnsi="Arial" w:cs="Arial"/>
          <w:b/>
          <w:szCs w:val="24"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A11933" w:rsidRPr="00A77968" w14:paraId="4178D126" w14:textId="77777777" w:rsidTr="00212261">
        <w:tc>
          <w:tcPr>
            <w:tcW w:w="4523" w:type="dxa"/>
          </w:tcPr>
          <w:p w14:paraId="1C14839C" w14:textId="77777777" w:rsidR="00A11933" w:rsidRPr="00A77968" w:rsidRDefault="00A11933" w:rsidP="00212261">
            <w:pPr>
              <w:pStyle w:val="Ttulo3"/>
              <w:spacing w:before="1"/>
              <w:ind w:left="0"/>
              <w:jc w:val="center"/>
              <w:outlineLvl w:val="2"/>
            </w:pPr>
            <w:r w:rsidRPr="00A77968">
              <w:t>Destinatario de los datos personales</w:t>
            </w:r>
          </w:p>
        </w:tc>
        <w:tc>
          <w:tcPr>
            <w:tcW w:w="4536" w:type="dxa"/>
          </w:tcPr>
          <w:p w14:paraId="5A09B530" w14:textId="77777777" w:rsidR="00A11933" w:rsidRPr="00A77968" w:rsidRDefault="00A11933" w:rsidP="00212261">
            <w:pPr>
              <w:pStyle w:val="Ttulo3"/>
              <w:spacing w:before="1"/>
              <w:ind w:left="0"/>
              <w:jc w:val="center"/>
              <w:outlineLvl w:val="2"/>
            </w:pPr>
            <w:r w:rsidRPr="00A77968">
              <w:t>Finalidad</w:t>
            </w:r>
          </w:p>
        </w:tc>
      </w:tr>
      <w:tr w:rsidR="00A11933" w:rsidRPr="00A77968" w14:paraId="220CFA07" w14:textId="77777777" w:rsidTr="00212261">
        <w:trPr>
          <w:trHeight w:val="738"/>
        </w:trPr>
        <w:tc>
          <w:tcPr>
            <w:tcW w:w="4523" w:type="dxa"/>
          </w:tcPr>
          <w:p w14:paraId="52FC690F" w14:textId="77777777" w:rsidR="00A11933" w:rsidRPr="00D618A1" w:rsidRDefault="00A11933" w:rsidP="00212261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sz w:val="22"/>
                <w:lang w:val="es-MX"/>
              </w:rPr>
            </w:pPr>
            <w:r w:rsidRPr="00D618A1">
              <w:rPr>
                <w:b w:val="0"/>
                <w:sz w:val="22"/>
                <w:lang w:val="es-MX"/>
              </w:rPr>
              <w:t>Autoridades administrativas o jurisdiccionales competentes (tribunales, órganos jurisdiccionales, organismos autónomos con facultades legales</w:t>
            </w:r>
            <w:r w:rsidRPr="00D618A1">
              <w:rPr>
                <w:b w:val="0"/>
                <w:sz w:val="22"/>
              </w:rPr>
              <w:t xml:space="preserve"> Secretariado Ejecutivo del Sistema Nacional de Seguridad Pública, Centro Estatal de Control de Confianza del Estado</w:t>
            </w:r>
            <w:r w:rsidRPr="00D618A1">
              <w:rPr>
                <w:b w:val="0"/>
                <w:sz w:val="22"/>
                <w:lang w:val="es-MX"/>
              </w:rPr>
              <w:t>).</w:t>
            </w:r>
          </w:p>
          <w:p w14:paraId="38573E84" w14:textId="77777777" w:rsidR="00A11933" w:rsidRPr="00D618A1" w:rsidRDefault="00A11933" w:rsidP="00212261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sz w:val="22"/>
              </w:rPr>
            </w:pPr>
          </w:p>
          <w:p w14:paraId="06060E2C" w14:textId="77777777" w:rsidR="00A11933" w:rsidRPr="00D618A1" w:rsidRDefault="00A11933" w:rsidP="00212261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sz w:val="22"/>
                <w:lang w:val="es-MX"/>
              </w:rPr>
            </w:pPr>
            <w:r w:rsidRPr="00D618A1">
              <w:rPr>
                <w:b w:val="0"/>
                <w:sz w:val="22"/>
                <w:lang w:val="es-MX"/>
              </w:rPr>
              <w:t>Órganos de control interno, fiscalización y auditoría (Auditoría Superior del Estado, Contraloría Interna, entre otros).</w:t>
            </w:r>
          </w:p>
          <w:p w14:paraId="315A54A6" w14:textId="77777777" w:rsidR="00A11933" w:rsidRPr="00D618A1" w:rsidRDefault="00A11933" w:rsidP="00212261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sz w:val="22"/>
                <w:lang w:val="es-MX"/>
              </w:rPr>
            </w:pPr>
          </w:p>
          <w:p w14:paraId="716E33A7" w14:textId="77777777" w:rsidR="00A11933" w:rsidRPr="00D618A1" w:rsidRDefault="00A11933" w:rsidP="00212261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sz w:val="22"/>
                <w:lang w:val="es-MX"/>
              </w:rPr>
            </w:pPr>
            <w:r w:rsidRPr="00D618A1">
              <w:rPr>
                <w:b w:val="0"/>
                <w:sz w:val="22"/>
                <w:lang w:val="es-MX"/>
              </w:rPr>
              <w:t>Otras autoridades de distintos niveles de gobierno (estatales o federales), únicamente cuando esté debidamente fundado y motivado conforme a la normatividad aplicable.</w:t>
            </w:r>
          </w:p>
          <w:p w14:paraId="2BC07538" w14:textId="77777777" w:rsidR="00A11933" w:rsidRPr="00D618A1" w:rsidRDefault="00A11933" w:rsidP="00212261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</w:rPr>
            </w:pPr>
          </w:p>
        </w:tc>
        <w:tc>
          <w:tcPr>
            <w:tcW w:w="4536" w:type="dxa"/>
          </w:tcPr>
          <w:p w14:paraId="115DC063" w14:textId="77777777" w:rsidR="00A11933" w:rsidRPr="00D618A1" w:rsidRDefault="00A11933" w:rsidP="00212261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sz w:val="22"/>
                <w:lang w:val="es-MX"/>
              </w:rPr>
            </w:pPr>
            <w:r w:rsidRPr="00D618A1">
              <w:rPr>
                <w:b w:val="0"/>
                <w:sz w:val="22"/>
                <w:lang w:val="es-MX"/>
              </w:rPr>
              <w:t xml:space="preserve">Cuando sea necesario para atender requerimientos de información de una autoridad en ejercicio de sus atribuciones, así como los necesarios en cuanto a las solicitudes que realicen autoridades competentes de otros ámbitos de gobierno, que estén debidamente fundados y motivados, o cuando se actualice alguna de las causales previstas en el artículo 98 de la </w:t>
            </w:r>
            <w:r w:rsidRPr="00D618A1">
              <w:rPr>
                <w:b w:val="0"/>
                <w:sz w:val="22"/>
              </w:rPr>
              <w:t xml:space="preserve">Ley de Protección de Datos Personales en Posesión de los Sujetos Obligados del Estado de San Luis Potosí. </w:t>
            </w:r>
          </w:p>
          <w:p w14:paraId="54AA3DAD" w14:textId="77777777" w:rsidR="00A11933" w:rsidRPr="00D618A1" w:rsidRDefault="00A11933" w:rsidP="00212261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</w:rPr>
            </w:pPr>
          </w:p>
        </w:tc>
      </w:tr>
    </w:tbl>
    <w:p w14:paraId="38736ACB" w14:textId="03FF7599" w:rsidR="003B7193" w:rsidRDefault="003B7193" w:rsidP="008B3A8B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A4F33AA" w14:textId="77777777" w:rsidR="00D618A1" w:rsidRPr="008D68B5" w:rsidRDefault="00D618A1" w:rsidP="008B3A8B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26AB246" w14:textId="77777777" w:rsidR="00E10741" w:rsidRPr="008D68B5" w:rsidRDefault="00E10741" w:rsidP="008B3A8B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8D68B5">
        <w:rPr>
          <w:rFonts w:ascii="Arial" w:hAnsi="Arial" w:cs="Arial"/>
          <w:b/>
          <w:szCs w:val="24"/>
        </w:rPr>
        <w:t>NEGATIVA DE TRATAMIENTO</w:t>
      </w:r>
    </w:p>
    <w:p w14:paraId="4567E3AB" w14:textId="77777777" w:rsidR="00A11933" w:rsidRPr="00A11933" w:rsidRDefault="00A11933" w:rsidP="00A11933">
      <w:pPr>
        <w:pStyle w:val="Textoindependiente"/>
        <w:spacing w:line="276" w:lineRule="auto"/>
        <w:ind w:right="-142"/>
        <w:jc w:val="both"/>
        <w:rPr>
          <w:rFonts w:eastAsiaTheme="minorHAnsi"/>
          <w:sz w:val="22"/>
          <w:lang w:val="es-MX" w:eastAsia="en-US" w:bidi="ar-SA"/>
        </w:rPr>
      </w:pPr>
      <w:bookmarkStart w:id="2" w:name="_Hlk213677261"/>
      <w:r w:rsidRPr="00A11933">
        <w:rPr>
          <w:rFonts w:eastAsiaTheme="minorHAnsi"/>
          <w:sz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8" w:history="1">
        <w:r w:rsidRPr="00A11933">
          <w:rPr>
            <w:rStyle w:val="Hipervnculo"/>
            <w:sz w:val="22"/>
          </w:rPr>
          <w:t>servicio.carrera@fiscaliaslp.gob.mx</w:t>
        </w:r>
      </w:hyperlink>
      <w:r w:rsidRPr="00A11933">
        <w:rPr>
          <w:rFonts w:eastAsiaTheme="minorHAnsi"/>
          <w:sz w:val="22"/>
          <w:lang w:val="es-MX" w:eastAsia="en-US" w:bidi="ar-SA"/>
        </w:rPr>
        <w:t xml:space="preserve">, en </w:t>
      </w:r>
      <w:hyperlink r:id="rId9" w:history="1">
        <w:r w:rsidRPr="00A11933">
          <w:rPr>
            <w:rStyle w:val="Hipervnculo"/>
            <w:rFonts w:eastAsiaTheme="minorHAnsi"/>
            <w:sz w:val="22"/>
            <w:lang w:val="es-MX" w:eastAsia="en-US" w:bidi="ar-SA"/>
          </w:rPr>
          <w:t>utransparencia@fiscaliaslp.gob.mx</w:t>
        </w:r>
      </w:hyperlink>
      <w:r w:rsidRPr="00A11933">
        <w:rPr>
          <w:rFonts w:eastAsiaTheme="minorHAnsi"/>
          <w:sz w:val="22"/>
          <w:lang w:val="es-MX" w:eastAsia="en-US" w:bidi="ar-SA"/>
        </w:rPr>
        <w:t>, o bien, mediante escrito libre presentado en Calle 5 de Mayo 1475, Barrio de San Miguelito, Código postal 78339 y/o en la Unidad de Transparencia con domicilio en Avenida  Eje Vial, número 100, zona centro, Código postal 78000 San Luis Potosí, San Luis Potosí.</w:t>
      </w:r>
    </w:p>
    <w:bookmarkEnd w:id="2"/>
    <w:p w14:paraId="22201B40" w14:textId="71B43EB8" w:rsidR="00E10741" w:rsidRDefault="00E10741" w:rsidP="008B3A8B">
      <w:pPr>
        <w:pStyle w:val="Textoindependiente"/>
        <w:ind w:right="49"/>
        <w:jc w:val="both"/>
        <w:rPr>
          <w:rFonts w:eastAsiaTheme="minorHAnsi"/>
          <w:sz w:val="22"/>
          <w:lang w:val="es-MX" w:eastAsia="en-US" w:bidi="ar-SA"/>
        </w:rPr>
      </w:pPr>
    </w:p>
    <w:p w14:paraId="2AD6FA1A" w14:textId="774588DF" w:rsidR="00D618A1" w:rsidRDefault="00D618A1" w:rsidP="008B3A8B">
      <w:pPr>
        <w:pStyle w:val="Textoindependiente"/>
        <w:ind w:right="49"/>
        <w:jc w:val="both"/>
        <w:rPr>
          <w:rFonts w:eastAsiaTheme="minorHAnsi"/>
          <w:sz w:val="22"/>
          <w:lang w:val="es-MX" w:eastAsia="en-US" w:bidi="ar-SA"/>
        </w:rPr>
      </w:pPr>
    </w:p>
    <w:p w14:paraId="41A0C281" w14:textId="77777777" w:rsidR="00D618A1" w:rsidRPr="008D68B5" w:rsidRDefault="00D618A1" w:rsidP="008B3A8B">
      <w:pPr>
        <w:pStyle w:val="Textoindependiente"/>
        <w:ind w:right="49"/>
        <w:jc w:val="both"/>
        <w:rPr>
          <w:rFonts w:eastAsiaTheme="minorHAnsi"/>
          <w:sz w:val="22"/>
          <w:lang w:val="es-MX" w:eastAsia="en-US" w:bidi="ar-SA"/>
        </w:rPr>
      </w:pPr>
      <w:bookmarkStart w:id="3" w:name="_GoBack"/>
      <w:bookmarkEnd w:id="3"/>
    </w:p>
    <w:p w14:paraId="324EBF23" w14:textId="77777777" w:rsidR="00E10741" w:rsidRPr="008D68B5" w:rsidRDefault="00E10741" w:rsidP="008B3A8B">
      <w:pPr>
        <w:pStyle w:val="Textoindependiente"/>
        <w:spacing w:before="184"/>
        <w:ind w:left="121" w:right="264"/>
        <w:jc w:val="center"/>
        <w:rPr>
          <w:b/>
          <w:sz w:val="22"/>
        </w:rPr>
      </w:pPr>
      <w:r w:rsidRPr="008D68B5">
        <w:rPr>
          <w:b/>
          <w:sz w:val="22"/>
        </w:rPr>
        <w:lastRenderedPageBreak/>
        <w:t>CAMBIOS AL AVISO DE PRIVACIDAD</w:t>
      </w:r>
    </w:p>
    <w:p w14:paraId="120761A2" w14:textId="75642DA2" w:rsidR="00E10741" w:rsidRPr="00A11933" w:rsidRDefault="00E10741" w:rsidP="00A11933">
      <w:pPr>
        <w:pStyle w:val="Textoindependiente"/>
        <w:spacing w:before="184" w:line="276" w:lineRule="auto"/>
        <w:ind w:right="-234"/>
        <w:jc w:val="both"/>
        <w:rPr>
          <w:b/>
          <w:sz w:val="22"/>
          <w:szCs w:val="22"/>
        </w:rPr>
      </w:pPr>
      <w:r w:rsidRPr="00A11933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F55489" w:rsidRPr="00A11933">
        <w:rPr>
          <w:sz w:val="22"/>
          <w:szCs w:val="22"/>
        </w:rPr>
        <w:t>Dirección General del Servicio Profesional de Carrera</w:t>
      </w:r>
      <w:r w:rsidRPr="00A11933">
        <w:rPr>
          <w:sz w:val="22"/>
          <w:szCs w:val="22"/>
        </w:rPr>
        <w:t xml:space="preserve"> o bien directamente en la siguiente liga </w:t>
      </w:r>
      <w:hyperlink r:id="rId10" w:history="1">
        <w:r w:rsidRPr="00A11933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11933">
        <w:rPr>
          <w:sz w:val="22"/>
          <w:szCs w:val="22"/>
        </w:rPr>
        <w:t>.</w:t>
      </w:r>
    </w:p>
    <w:p w14:paraId="5BE659A4" w14:textId="77777777" w:rsidR="00E10741" w:rsidRPr="00A11933" w:rsidRDefault="00E10741" w:rsidP="00A11933">
      <w:pPr>
        <w:rPr>
          <w:rFonts w:ascii="Arial" w:hAnsi="Arial" w:cs="Arial"/>
        </w:rPr>
      </w:pPr>
    </w:p>
    <w:p w14:paraId="320E783E" w14:textId="0B38FC1D" w:rsidR="00E10741" w:rsidRPr="00A11933" w:rsidRDefault="00E10741" w:rsidP="00A11933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11933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11933" w:rsidRDefault="00E10741" w:rsidP="00A11933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57AE4C88" w:rsidR="00E10741" w:rsidRPr="00A11933" w:rsidRDefault="00E10741" w:rsidP="00A11933">
      <w:pPr>
        <w:ind w:right="-234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1193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96701" w:rsidRPr="00A11933">
        <w:rPr>
          <w:rFonts w:ascii="Arial" w:hAnsi="Arial" w:cs="Arial"/>
        </w:rPr>
        <w:t>Dirección General del Servicio Profesional de Carrera</w:t>
      </w:r>
      <w:r w:rsidRPr="00A11933">
        <w:rPr>
          <w:rFonts w:ascii="Arial" w:hAnsi="Arial" w:cs="Arial"/>
          <w:b/>
          <w:i/>
        </w:rPr>
        <w:t xml:space="preserve"> </w:t>
      </w:r>
      <w:r w:rsidRPr="00A1193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1" w:history="1">
        <w:r w:rsidRPr="00A11933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A1193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F55489" w:rsidRPr="00A1193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–</w:t>
      </w:r>
      <w:r w:rsidRPr="00A1193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F55489" w:rsidRPr="00A11933">
        <w:rPr>
          <w:rFonts w:ascii="Arial" w:hAnsi="Arial" w:cs="Arial"/>
        </w:rPr>
        <w:t>Dirección General del Servicio Profesional de Carrera</w:t>
      </w:r>
      <w:r w:rsidRPr="00A11933">
        <w:rPr>
          <w:rFonts w:ascii="Arial" w:hAnsi="Arial" w:cs="Arial"/>
          <w:b/>
          <w:i/>
        </w:rPr>
        <w:t xml:space="preserve"> </w:t>
      </w:r>
      <w:r w:rsidRPr="00A11933">
        <w:rPr>
          <w:rFonts w:ascii="Arial" w:hAnsi="Arial" w:cs="Arial"/>
        </w:rPr>
        <w:t xml:space="preserve"> </w:t>
      </w:r>
      <w:r w:rsidRPr="00A11933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A11933">
        <w:rPr>
          <w:rFonts w:ascii="Arial" w:hAnsi="Arial" w:cs="Arial"/>
        </w:rPr>
        <w:t xml:space="preserve"> </w:t>
      </w:r>
      <w:r w:rsidR="00F55489" w:rsidRPr="00A11933">
        <w:rPr>
          <w:rFonts w:ascii="Arial" w:eastAsia="Times New Roman" w:hAnsi="Arial" w:cs="Arial"/>
          <w:bCs/>
          <w:color w:val="000000"/>
          <w:lang w:eastAsia="es-MX"/>
        </w:rPr>
        <w:t>Audiencia</w:t>
      </w:r>
      <w:r w:rsidRPr="00A11933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</w:t>
      </w:r>
      <w:r w:rsidR="00F55489" w:rsidRPr="00A11933">
        <w:rPr>
          <w:rFonts w:ascii="Arial" w:eastAsia="Times New Roman" w:hAnsi="Arial" w:cs="Arial"/>
          <w:bCs/>
          <w:color w:val="000000"/>
          <w:lang w:eastAsia="es-MX"/>
        </w:rPr>
        <w:t>Simplificado</w:t>
      </w:r>
      <w:r w:rsidRPr="00A11933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4E1169B6" w14:textId="302E11C0" w:rsidR="00E10741" w:rsidRPr="008D68B5" w:rsidRDefault="00E10741" w:rsidP="008B3A8B">
      <w:pPr>
        <w:spacing w:line="240" w:lineRule="auto"/>
        <w:rPr>
          <w:rFonts w:ascii="Arial" w:hAnsi="Arial" w:cs="Arial"/>
          <w:szCs w:val="24"/>
          <w:lang w:val="es-ES"/>
        </w:rPr>
      </w:pPr>
    </w:p>
    <w:p w14:paraId="726BADF1" w14:textId="47556AF2" w:rsidR="00E10741" w:rsidRPr="008D68B5" w:rsidRDefault="00E10741" w:rsidP="008B3A8B">
      <w:pPr>
        <w:spacing w:line="240" w:lineRule="auto"/>
        <w:rPr>
          <w:rFonts w:ascii="Arial" w:hAnsi="Arial" w:cs="Arial"/>
          <w:szCs w:val="24"/>
          <w:lang w:val="es-ES"/>
        </w:rPr>
      </w:pPr>
    </w:p>
    <w:p w14:paraId="32F4AC44" w14:textId="6F818B2F" w:rsidR="00E10741" w:rsidRPr="008D68B5" w:rsidRDefault="00E10741" w:rsidP="008B3A8B">
      <w:pPr>
        <w:spacing w:line="240" w:lineRule="auto"/>
        <w:rPr>
          <w:rFonts w:ascii="Arial" w:hAnsi="Arial" w:cs="Arial"/>
          <w:szCs w:val="24"/>
          <w:lang w:val="es-ES"/>
        </w:rPr>
      </w:pPr>
    </w:p>
    <w:p w14:paraId="57C58C26" w14:textId="77777777" w:rsidR="00E10741" w:rsidRPr="008D68B5" w:rsidRDefault="00E10741" w:rsidP="008B3A8B">
      <w:pPr>
        <w:spacing w:line="240" w:lineRule="auto"/>
        <w:rPr>
          <w:rFonts w:ascii="Arial" w:hAnsi="Arial" w:cs="Arial"/>
          <w:szCs w:val="24"/>
          <w:lang w:val="es-ES"/>
        </w:rPr>
      </w:pPr>
    </w:p>
    <w:p w14:paraId="07B430FC" w14:textId="77777777" w:rsidR="00E10741" w:rsidRPr="008D68B5" w:rsidRDefault="00E10741" w:rsidP="008B3A8B">
      <w:pPr>
        <w:tabs>
          <w:tab w:val="left" w:pos="4412"/>
        </w:tabs>
        <w:spacing w:before="240" w:line="240" w:lineRule="auto"/>
        <w:jc w:val="center"/>
        <w:rPr>
          <w:rFonts w:ascii="Arial" w:hAnsi="Arial" w:cs="Arial"/>
          <w:color w:val="000000"/>
          <w:szCs w:val="24"/>
        </w:rPr>
      </w:pPr>
      <w:r w:rsidRPr="008D68B5">
        <w:rPr>
          <w:rFonts w:ascii="Arial" w:hAnsi="Arial" w:cs="Arial"/>
          <w:color w:val="000000"/>
          <w:szCs w:val="24"/>
        </w:rPr>
        <w:t>_______________________________________________</w:t>
      </w:r>
    </w:p>
    <w:p w14:paraId="26C7F290" w14:textId="77777777" w:rsidR="00E10741" w:rsidRPr="008D68B5" w:rsidRDefault="00E10741" w:rsidP="008B3A8B">
      <w:pPr>
        <w:spacing w:line="240" w:lineRule="auto"/>
        <w:jc w:val="center"/>
        <w:rPr>
          <w:rFonts w:ascii="Arial" w:hAnsi="Arial" w:cs="Arial"/>
          <w:szCs w:val="24"/>
        </w:rPr>
      </w:pPr>
      <w:r w:rsidRPr="008D68B5">
        <w:rPr>
          <w:rFonts w:ascii="Arial" w:hAnsi="Arial" w:cs="Arial"/>
          <w:color w:val="000000"/>
          <w:szCs w:val="24"/>
        </w:rPr>
        <w:t>Nombre y/o firma y/o huella del usuario</w:t>
      </w:r>
    </w:p>
    <w:p w14:paraId="5FB14EEF" w14:textId="51C67C1A" w:rsidR="00A11933" w:rsidRDefault="00E10741" w:rsidP="008B3A8B">
      <w:pPr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8D68B5">
        <w:rPr>
          <w:rFonts w:ascii="Arial" w:hAnsi="Arial" w:cs="Arial"/>
          <w:color w:val="000000"/>
          <w:szCs w:val="24"/>
        </w:rPr>
        <w:t>Manifiesto estar enterado (a) del tratamiento que se dará a mis datos personales y protesto mi conformidad.</w:t>
      </w:r>
    </w:p>
    <w:p w14:paraId="4F756C5F" w14:textId="77777777" w:rsidR="00A11933" w:rsidRPr="00A11933" w:rsidRDefault="00A11933" w:rsidP="00A11933">
      <w:pPr>
        <w:rPr>
          <w:rFonts w:ascii="Arial" w:hAnsi="Arial" w:cs="Arial"/>
          <w:szCs w:val="24"/>
        </w:rPr>
      </w:pPr>
    </w:p>
    <w:p w14:paraId="56F09F52" w14:textId="397D6C81" w:rsidR="00A11933" w:rsidRPr="00643DC2" w:rsidRDefault="00A11933" w:rsidP="00A11933">
      <w:pPr>
        <w:rPr>
          <w:rFonts w:ascii="Arial" w:hAnsi="Arial" w:cs="Arial"/>
          <w:sz w:val="24"/>
          <w:szCs w:val="24"/>
          <w:lang w:val="es-ES"/>
        </w:rPr>
      </w:pPr>
      <w:bookmarkStart w:id="4" w:name="_Hlk213677296"/>
    </w:p>
    <w:p w14:paraId="681CF204" w14:textId="77777777" w:rsidR="00A11933" w:rsidRPr="00D67356" w:rsidRDefault="00A11933" w:rsidP="00A11933">
      <w:pPr>
        <w:ind w:right="142"/>
        <w:jc w:val="right"/>
        <w:rPr>
          <w:rFonts w:ascii="Arial" w:hAnsi="Arial" w:cs="Arial"/>
          <w:sz w:val="24"/>
          <w:szCs w:val="24"/>
          <w:lang w:val="es-ES"/>
        </w:rPr>
      </w:pPr>
      <w:r w:rsidRPr="00643DC2">
        <w:rPr>
          <w:rFonts w:ascii="Arial" w:hAnsi="Arial" w:cs="Arial"/>
          <w:sz w:val="24"/>
          <w:szCs w:val="24"/>
          <w:lang w:val="es-ES"/>
        </w:rPr>
        <w:t xml:space="preserve">Fecha de última actualización: </w:t>
      </w:r>
      <w:bookmarkEnd w:id="4"/>
      <w:r>
        <w:rPr>
          <w:rFonts w:ascii="Arial" w:hAnsi="Arial" w:cs="Arial"/>
          <w:sz w:val="24"/>
          <w:szCs w:val="24"/>
          <w:lang w:val="es-ES"/>
        </w:rPr>
        <w:t xml:space="preserve">01 de enero 2026. </w:t>
      </w:r>
    </w:p>
    <w:p w14:paraId="243C74AD" w14:textId="3E54D15D" w:rsidR="00E10741" w:rsidRPr="00A11933" w:rsidRDefault="00E10741" w:rsidP="00A11933">
      <w:pPr>
        <w:tabs>
          <w:tab w:val="left" w:pos="7720"/>
        </w:tabs>
        <w:rPr>
          <w:rFonts w:ascii="Arial" w:hAnsi="Arial" w:cs="Arial"/>
          <w:szCs w:val="24"/>
          <w:lang w:val="es-ES"/>
        </w:rPr>
      </w:pPr>
    </w:p>
    <w:sectPr w:rsidR="00E10741" w:rsidRPr="00A11933" w:rsidSect="00D82349">
      <w:headerReference w:type="default" r:id="rId12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52EDF" w14:textId="77777777" w:rsidR="006C6E69" w:rsidRDefault="006C6E69" w:rsidP="0001014E">
      <w:pPr>
        <w:spacing w:after="0" w:line="240" w:lineRule="auto"/>
      </w:pPr>
      <w:r>
        <w:separator/>
      </w:r>
    </w:p>
  </w:endnote>
  <w:endnote w:type="continuationSeparator" w:id="0">
    <w:p w14:paraId="3CEEA4F7" w14:textId="77777777" w:rsidR="006C6E69" w:rsidRDefault="006C6E69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D9D53" w14:textId="77777777" w:rsidR="006C6E69" w:rsidRDefault="006C6E69" w:rsidP="0001014E">
      <w:pPr>
        <w:spacing w:after="0" w:line="240" w:lineRule="auto"/>
      </w:pPr>
      <w:r>
        <w:separator/>
      </w:r>
    </w:p>
  </w:footnote>
  <w:footnote w:type="continuationSeparator" w:id="0">
    <w:p w14:paraId="24E83AD6" w14:textId="77777777" w:rsidR="006C6E69" w:rsidRDefault="006C6E69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6B5"/>
    <w:multiLevelType w:val="multilevel"/>
    <w:tmpl w:val="B41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25287"/>
    <w:multiLevelType w:val="hybridMultilevel"/>
    <w:tmpl w:val="80B4F7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043B7"/>
    <w:multiLevelType w:val="multilevel"/>
    <w:tmpl w:val="F3B4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A09FC"/>
    <w:multiLevelType w:val="multilevel"/>
    <w:tmpl w:val="5A42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3253EB"/>
    <w:multiLevelType w:val="hybridMultilevel"/>
    <w:tmpl w:val="60527DA6"/>
    <w:lvl w:ilvl="0" w:tplc="F7C2901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11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96701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4351E"/>
    <w:rsid w:val="003810BF"/>
    <w:rsid w:val="003A3682"/>
    <w:rsid w:val="003B7193"/>
    <w:rsid w:val="003D2D06"/>
    <w:rsid w:val="00402C98"/>
    <w:rsid w:val="004C2D3E"/>
    <w:rsid w:val="004C7FE2"/>
    <w:rsid w:val="004E3C76"/>
    <w:rsid w:val="005066A6"/>
    <w:rsid w:val="00511152"/>
    <w:rsid w:val="00556561"/>
    <w:rsid w:val="005862F2"/>
    <w:rsid w:val="00587BBE"/>
    <w:rsid w:val="005911CF"/>
    <w:rsid w:val="005C4306"/>
    <w:rsid w:val="00655ED4"/>
    <w:rsid w:val="006860F6"/>
    <w:rsid w:val="006A2862"/>
    <w:rsid w:val="006A4F3C"/>
    <w:rsid w:val="006B0902"/>
    <w:rsid w:val="006B2D26"/>
    <w:rsid w:val="006C6E69"/>
    <w:rsid w:val="006D243F"/>
    <w:rsid w:val="0071219F"/>
    <w:rsid w:val="00717FB2"/>
    <w:rsid w:val="007619D5"/>
    <w:rsid w:val="007839AA"/>
    <w:rsid w:val="0079539D"/>
    <w:rsid w:val="007E37A2"/>
    <w:rsid w:val="0080029D"/>
    <w:rsid w:val="008112E5"/>
    <w:rsid w:val="00832B68"/>
    <w:rsid w:val="008A3D12"/>
    <w:rsid w:val="008A4B38"/>
    <w:rsid w:val="008B3A8B"/>
    <w:rsid w:val="008D68B5"/>
    <w:rsid w:val="008F0EEB"/>
    <w:rsid w:val="008F6BAB"/>
    <w:rsid w:val="00986E8B"/>
    <w:rsid w:val="009F4F5E"/>
    <w:rsid w:val="00A11933"/>
    <w:rsid w:val="00A32F6F"/>
    <w:rsid w:val="00A6186E"/>
    <w:rsid w:val="00A94B60"/>
    <w:rsid w:val="00AF4674"/>
    <w:rsid w:val="00B13B24"/>
    <w:rsid w:val="00B15E5E"/>
    <w:rsid w:val="00B42EC3"/>
    <w:rsid w:val="00B6123A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618A1"/>
    <w:rsid w:val="00D66820"/>
    <w:rsid w:val="00D82349"/>
    <w:rsid w:val="00D97A7C"/>
    <w:rsid w:val="00E10741"/>
    <w:rsid w:val="00E6015A"/>
    <w:rsid w:val="00E908BD"/>
    <w:rsid w:val="00E92C9C"/>
    <w:rsid w:val="00EB7F77"/>
    <w:rsid w:val="00ED0C9A"/>
    <w:rsid w:val="00ED4190"/>
    <w:rsid w:val="00EE0FCC"/>
    <w:rsid w:val="00EE12CC"/>
    <w:rsid w:val="00EE5590"/>
    <w:rsid w:val="00EE6D60"/>
    <w:rsid w:val="00EF7A59"/>
    <w:rsid w:val="00F4215F"/>
    <w:rsid w:val="00F55489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B08EE"/>
  <w15:docId w15:val="{2332C102-778A-4AF7-8EEC-9D5E951A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Sinespaciado">
    <w:name w:val="No Spacing"/>
    <w:uiPriority w:val="1"/>
    <w:qFormat/>
    <w:rsid w:val="00F5548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B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11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.carrera@fiscaliasl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scaliaslp.gob.mx/v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A015-DA92-439F-ACC8-0A4B317F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4</cp:revision>
  <cp:lastPrinted>2025-08-27T18:52:00Z</cp:lastPrinted>
  <dcterms:created xsi:type="dcterms:W3CDTF">2025-11-27T02:00:00Z</dcterms:created>
  <dcterms:modified xsi:type="dcterms:W3CDTF">2026-01-14T21:11:00Z</dcterms:modified>
</cp:coreProperties>
</file>