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EB8FCCE" w:rsidR="000B05C1" w:rsidRPr="0081145F" w:rsidRDefault="007C06D4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207190096"/>
      <w:r w:rsidRPr="0081145F">
        <w:rPr>
          <w:rFonts w:ascii="Arial" w:hAnsi="Arial" w:cs="Arial"/>
          <w:b/>
          <w:sz w:val="22"/>
          <w:szCs w:val="22"/>
        </w:rPr>
        <w:t xml:space="preserve">       </w:t>
      </w:r>
      <w:r w:rsidR="000B4E7A" w:rsidRPr="0081145F">
        <w:rPr>
          <w:rFonts w:ascii="Arial" w:hAnsi="Arial" w:cs="Arial"/>
          <w:b/>
          <w:sz w:val="22"/>
          <w:szCs w:val="22"/>
        </w:rPr>
        <w:t xml:space="preserve">COLABORACIONES INTERNACIONALES </w:t>
      </w:r>
    </w:p>
    <w:bookmarkEnd w:id="0"/>
    <w:p w14:paraId="5D6683CE" w14:textId="3A69301B" w:rsidR="000A4D58" w:rsidRPr="0081145F" w:rsidRDefault="000B05C1" w:rsidP="00043CDE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81145F">
        <w:rPr>
          <w:sz w:val="22"/>
          <w:szCs w:val="22"/>
        </w:rPr>
        <w:t xml:space="preserve">La </w:t>
      </w:r>
      <w:bookmarkStart w:id="1" w:name="_Hlk207190417"/>
      <w:r w:rsidR="007C06D4" w:rsidRPr="0081145F">
        <w:rPr>
          <w:sz w:val="22"/>
          <w:szCs w:val="22"/>
        </w:rPr>
        <w:t xml:space="preserve">Dirección </w:t>
      </w:r>
      <w:bookmarkEnd w:id="1"/>
      <w:r w:rsidR="007C06D4" w:rsidRPr="0081145F">
        <w:rPr>
          <w:sz w:val="22"/>
          <w:szCs w:val="22"/>
        </w:rPr>
        <w:t>Jurídica de</w:t>
      </w:r>
      <w:r w:rsidRPr="0081145F">
        <w:rPr>
          <w:sz w:val="22"/>
          <w:szCs w:val="22"/>
        </w:rPr>
        <w:t xml:space="preserve"> la Fiscalía General del Estado de San Luis Potosí, con domicilio en</w:t>
      </w:r>
      <w:r w:rsidR="007C06D4" w:rsidRPr="0081145F">
        <w:rPr>
          <w:sz w:val="22"/>
          <w:szCs w:val="22"/>
        </w:rPr>
        <w:t xml:space="preserve"> con domicilio en Avenida Eje Vial, número 100, zona centro, </w:t>
      </w:r>
      <w:r w:rsidR="00CD7150">
        <w:rPr>
          <w:sz w:val="22"/>
          <w:szCs w:val="22"/>
        </w:rPr>
        <w:t>código postal</w:t>
      </w:r>
      <w:r w:rsidR="007C06D4" w:rsidRPr="0081145F">
        <w:rPr>
          <w:sz w:val="22"/>
          <w:szCs w:val="22"/>
        </w:rPr>
        <w:t xml:space="preserve"> 78000, es la</w:t>
      </w:r>
      <w:r w:rsidRPr="0081145F">
        <w:rPr>
          <w:sz w:val="22"/>
          <w:szCs w:val="22"/>
        </w:rPr>
        <w:t xml:space="preserve"> responsable del tratamiento</w:t>
      </w:r>
      <w:r w:rsidRPr="0081145F">
        <w:rPr>
          <w:spacing w:val="-15"/>
          <w:sz w:val="22"/>
          <w:szCs w:val="22"/>
        </w:rPr>
        <w:t xml:space="preserve"> </w:t>
      </w:r>
      <w:r w:rsidRPr="0081145F">
        <w:rPr>
          <w:sz w:val="22"/>
          <w:szCs w:val="22"/>
        </w:rPr>
        <w:t>de</w:t>
      </w:r>
      <w:r w:rsidRPr="0081145F">
        <w:rPr>
          <w:spacing w:val="-12"/>
          <w:sz w:val="22"/>
          <w:szCs w:val="22"/>
        </w:rPr>
        <w:t xml:space="preserve"> </w:t>
      </w:r>
      <w:r w:rsidRPr="0081145F">
        <w:rPr>
          <w:sz w:val="22"/>
          <w:szCs w:val="22"/>
        </w:rPr>
        <w:t>los</w:t>
      </w:r>
      <w:r w:rsidRPr="0081145F">
        <w:rPr>
          <w:spacing w:val="-17"/>
          <w:sz w:val="22"/>
          <w:szCs w:val="22"/>
        </w:rPr>
        <w:t xml:space="preserve"> </w:t>
      </w:r>
      <w:r w:rsidRPr="0081145F">
        <w:rPr>
          <w:sz w:val="22"/>
          <w:szCs w:val="22"/>
        </w:rPr>
        <w:t>datos</w:t>
      </w:r>
      <w:r w:rsidRPr="0081145F">
        <w:rPr>
          <w:spacing w:val="-12"/>
          <w:sz w:val="22"/>
          <w:szCs w:val="22"/>
        </w:rPr>
        <w:t xml:space="preserve"> </w:t>
      </w:r>
      <w:r w:rsidRPr="0081145F">
        <w:rPr>
          <w:sz w:val="22"/>
          <w:szCs w:val="22"/>
        </w:rPr>
        <w:t>personales</w:t>
      </w:r>
      <w:r w:rsidRPr="0081145F">
        <w:rPr>
          <w:spacing w:val="-14"/>
          <w:sz w:val="22"/>
          <w:szCs w:val="22"/>
        </w:rPr>
        <w:t xml:space="preserve"> </w:t>
      </w:r>
      <w:r w:rsidRPr="000B4E7A">
        <w:rPr>
          <w:color w:val="000000" w:themeColor="text1"/>
          <w:sz w:val="22"/>
          <w:szCs w:val="22"/>
        </w:rPr>
        <w:t>que</w:t>
      </w:r>
      <w:r w:rsidRPr="000B4E7A">
        <w:rPr>
          <w:color w:val="000000" w:themeColor="text1"/>
          <w:spacing w:val="-23"/>
          <w:sz w:val="22"/>
          <w:szCs w:val="22"/>
        </w:rPr>
        <w:t xml:space="preserve"> </w:t>
      </w:r>
      <w:r w:rsidRPr="000B4E7A">
        <w:rPr>
          <w:color w:val="000000" w:themeColor="text1"/>
          <w:sz w:val="22"/>
          <w:szCs w:val="22"/>
        </w:rPr>
        <w:t>nos</w:t>
      </w:r>
      <w:r w:rsidRPr="000B4E7A">
        <w:rPr>
          <w:color w:val="000000" w:themeColor="text1"/>
          <w:spacing w:val="-22"/>
          <w:sz w:val="22"/>
          <w:szCs w:val="22"/>
        </w:rPr>
        <w:t xml:space="preserve"> </w:t>
      </w:r>
      <w:r w:rsidRPr="000B4E7A">
        <w:rPr>
          <w:color w:val="000000" w:themeColor="text1"/>
          <w:sz w:val="22"/>
          <w:szCs w:val="22"/>
        </w:rPr>
        <w:t>proporcione</w:t>
      </w:r>
      <w:r w:rsidRPr="0081145F">
        <w:rPr>
          <w:sz w:val="22"/>
          <w:szCs w:val="22"/>
        </w:rPr>
        <w:t>,</w:t>
      </w:r>
      <w:r w:rsidRPr="0081145F">
        <w:rPr>
          <w:spacing w:val="-20"/>
          <w:sz w:val="22"/>
          <w:szCs w:val="22"/>
        </w:rPr>
        <w:t xml:space="preserve"> </w:t>
      </w:r>
      <w:r w:rsidRPr="0081145F">
        <w:rPr>
          <w:sz w:val="22"/>
          <w:szCs w:val="22"/>
        </w:rPr>
        <w:t>los</w:t>
      </w:r>
      <w:r w:rsidRPr="0081145F">
        <w:rPr>
          <w:spacing w:val="-22"/>
          <w:sz w:val="22"/>
          <w:szCs w:val="22"/>
        </w:rPr>
        <w:t xml:space="preserve"> </w:t>
      </w:r>
      <w:r w:rsidRPr="0081145F">
        <w:rPr>
          <w:sz w:val="22"/>
          <w:szCs w:val="22"/>
        </w:rPr>
        <w:t>cuales</w:t>
      </w:r>
      <w:r w:rsidRPr="0081145F">
        <w:rPr>
          <w:spacing w:val="-21"/>
          <w:sz w:val="22"/>
          <w:szCs w:val="22"/>
        </w:rPr>
        <w:t xml:space="preserve"> </w:t>
      </w:r>
      <w:r w:rsidRPr="0081145F">
        <w:rPr>
          <w:sz w:val="22"/>
          <w:szCs w:val="22"/>
        </w:rPr>
        <w:t>serán</w:t>
      </w:r>
      <w:r w:rsidRPr="0081145F">
        <w:rPr>
          <w:spacing w:val="-21"/>
          <w:sz w:val="22"/>
          <w:szCs w:val="22"/>
        </w:rPr>
        <w:t xml:space="preserve"> </w:t>
      </w:r>
      <w:r w:rsidRPr="0081145F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81145F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81145F">
        <w:rPr>
          <w:sz w:val="22"/>
          <w:szCs w:val="22"/>
        </w:rPr>
        <w:tab/>
      </w:r>
      <w:r w:rsidRPr="0081145F">
        <w:rPr>
          <w:b/>
          <w:sz w:val="22"/>
          <w:szCs w:val="22"/>
        </w:rPr>
        <w:t xml:space="preserve">FINALIDAD </w:t>
      </w:r>
    </w:p>
    <w:p w14:paraId="45642DA9" w14:textId="3A36086F" w:rsidR="000A4D58" w:rsidRPr="0081145F" w:rsidRDefault="000A4D58" w:rsidP="000B4E7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1145F">
        <w:rPr>
          <w:sz w:val="22"/>
          <w:szCs w:val="22"/>
        </w:rPr>
        <w:t>Sus datos personales, serán utilizados para las siguient</w:t>
      </w:r>
      <w:r w:rsidR="000B4E7A">
        <w:rPr>
          <w:sz w:val="22"/>
          <w:szCs w:val="22"/>
        </w:rPr>
        <w:t xml:space="preserve">es finalidades y que no requieren de su consentimiento: </w:t>
      </w:r>
    </w:p>
    <w:p w14:paraId="751D3D5A" w14:textId="77777777" w:rsidR="0081145F" w:rsidRDefault="0081145F" w:rsidP="007C06D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851E23" w14:textId="4D3B4044" w:rsidR="007C06D4" w:rsidRPr="00043CDE" w:rsidRDefault="007C06D4" w:rsidP="007C06D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5FB4EDA7" w14:textId="2093138E" w:rsidR="007C06D4" w:rsidRPr="00043CDE" w:rsidRDefault="007C06D4" w:rsidP="007C06D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2.- Solicitar </w:t>
      </w:r>
      <w:r w:rsidR="00D743C5" w:rsidRPr="00043CDE">
        <w:rPr>
          <w:rFonts w:ascii="Arial" w:hAnsi="Arial" w:cs="Arial"/>
          <w:sz w:val="22"/>
          <w:szCs w:val="22"/>
        </w:rPr>
        <w:t>Notificación</w:t>
      </w:r>
      <w:r w:rsidRPr="00043CDE">
        <w:rPr>
          <w:rFonts w:ascii="Arial" w:hAnsi="Arial" w:cs="Arial"/>
          <w:sz w:val="22"/>
          <w:szCs w:val="22"/>
        </w:rPr>
        <w:t xml:space="preserve"> Roja</w:t>
      </w:r>
      <w:r w:rsidR="00D743C5" w:rsidRPr="00043CDE">
        <w:rPr>
          <w:rFonts w:ascii="Arial" w:hAnsi="Arial" w:cs="Arial"/>
          <w:sz w:val="22"/>
          <w:szCs w:val="22"/>
        </w:rPr>
        <w:t xml:space="preserve"> y Alerta Migratoria</w:t>
      </w:r>
      <w:r w:rsidRPr="00043CDE">
        <w:rPr>
          <w:rFonts w:ascii="Arial" w:hAnsi="Arial" w:cs="Arial"/>
          <w:sz w:val="22"/>
          <w:szCs w:val="22"/>
        </w:rPr>
        <w:t xml:space="preserve"> ante INTERPOL.</w:t>
      </w:r>
    </w:p>
    <w:p w14:paraId="25F8360F" w14:textId="58A000AC" w:rsidR="007C06D4" w:rsidRPr="00043CDE" w:rsidRDefault="007C06D4" w:rsidP="007C06D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>3.- Solic</w:t>
      </w:r>
      <w:r w:rsidR="00D743C5" w:rsidRPr="00043CDE">
        <w:rPr>
          <w:rFonts w:ascii="Arial" w:hAnsi="Arial" w:cs="Arial"/>
          <w:sz w:val="22"/>
          <w:szCs w:val="22"/>
        </w:rPr>
        <w:t>itar Proceso</w:t>
      </w:r>
      <w:r w:rsidRPr="00043CDE">
        <w:rPr>
          <w:rFonts w:ascii="Arial" w:hAnsi="Arial" w:cs="Arial"/>
          <w:sz w:val="22"/>
          <w:szCs w:val="22"/>
        </w:rPr>
        <w:t xml:space="preserve"> de Extradición ante la Fiscalía General de la República. </w:t>
      </w:r>
    </w:p>
    <w:p w14:paraId="12E204DA" w14:textId="7944E271" w:rsidR="007C06D4" w:rsidRPr="00043CDE" w:rsidRDefault="007C06D4" w:rsidP="00D743C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4.- Solicitar información </w:t>
      </w:r>
      <w:r w:rsidR="00D743C5" w:rsidRPr="00043CDE">
        <w:rPr>
          <w:rFonts w:ascii="Arial" w:hAnsi="Arial" w:cs="Arial"/>
          <w:sz w:val="22"/>
          <w:szCs w:val="22"/>
        </w:rPr>
        <w:t xml:space="preserve">que obra dentro de </w:t>
      </w:r>
      <w:r w:rsidR="001254CF" w:rsidRPr="00043CDE">
        <w:rPr>
          <w:rFonts w:ascii="Arial" w:hAnsi="Arial" w:cs="Arial"/>
          <w:sz w:val="22"/>
          <w:szCs w:val="22"/>
        </w:rPr>
        <w:t>la</w:t>
      </w:r>
      <w:r w:rsidR="000B4E7A" w:rsidRPr="00043CDE">
        <w:rPr>
          <w:rFonts w:ascii="Arial" w:hAnsi="Arial" w:cs="Arial"/>
          <w:sz w:val="22"/>
          <w:szCs w:val="22"/>
        </w:rPr>
        <w:t xml:space="preserve"> Carpeta de Investigación</w:t>
      </w:r>
      <w:r w:rsidR="00D743C5" w:rsidRPr="00043CDE">
        <w:rPr>
          <w:rFonts w:ascii="Arial" w:hAnsi="Arial" w:cs="Arial"/>
          <w:sz w:val="22"/>
          <w:szCs w:val="22"/>
        </w:rPr>
        <w:t xml:space="preserve"> </w:t>
      </w:r>
      <w:r w:rsidRPr="00043CDE">
        <w:rPr>
          <w:rFonts w:ascii="Arial" w:hAnsi="Arial" w:cs="Arial"/>
          <w:sz w:val="22"/>
          <w:szCs w:val="22"/>
        </w:rPr>
        <w:t>a</w:t>
      </w:r>
      <w:r w:rsidR="0081145F" w:rsidRPr="00043CDE">
        <w:rPr>
          <w:rFonts w:ascii="Arial" w:hAnsi="Arial" w:cs="Arial"/>
          <w:sz w:val="22"/>
          <w:szCs w:val="22"/>
        </w:rPr>
        <w:t xml:space="preserve">l Agente del Ministerio Público que </w:t>
      </w:r>
      <w:r w:rsidR="00D743C5" w:rsidRPr="00043CDE">
        <w:rPr>
          <w:rFonts w:ascii="Arial" w:hAnsi="Arial" w:cs="Arial"/>
          <w:sz w:val="22"/>
          <w:szCs w:val="22"/>
        </w:rPr>
        <w:t xml:space="preserve">conoce la </w:t>
      </w:r>
      <w:r w:rsidR="001254CF" w:rsidRPr="00043CDE">
        <w:rPr>
          <w:rFonts w:ascii="Arial" w:hAnsi="Arial" w:cs="Arial"/>
          <w:sz w:val="22"/>
          <w:szCs w:val="22"/>
        </w:rPr>
        <w:t>indagatoria</w:t>
      </w:r>
      <w:r w:rsidR="00D743C5" w:rsidRPr="00043CDE">
        <w:rPr>
          <w:rFonts w:ascii="Arial" w:hAnsi="Arial" w:cs="Arial"/>
          <w:sz w:val="22"/>
          <w:szCs w:val="22"/>
        </w:rPr>
        <w:t xml:space="preserve">. </w:t>
      </w:r>
    </w:p>
    <w:p w14:paraId="248DDE7C" w14:textId="20F7BD93" w:rsidR="000A4D58" w:rsidRPr="00043CDE" w:rsidRDefault="00043CDE" w:rsidP="00043CD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>5.-</w:t>
      </w:r>
      <w:r w:rsidR="000A4D58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7C06D4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A petición del Agente del Ministerio Público, colaborar con la búsque</w:t>
      </w:r>
      <w:r w:rsidR="000B4E7A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da, localización y detención de</w:t>
      </w:r>
      <w:r w:rsidR="007C06D4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fugitivos que cuentan con orden de aprehensión pendiente de cumplimentar en territorio Potosino y que e</w:t>
      </w:r>
      <w:r w:rsidR="0081145F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xiste</w:t>
      </w:r>
      <w:r w:rsidR="007C06D4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presunción de que se enc</w:t>
      </w:r>
      <w:r w:rsidR="00F42CFF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uentra en territorio extranjero con la intención de evadir la justicia. </w:t>
      </w:r>
      <w:r w:rsidR="007C06D4"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 </w:t>
      </w:r>
    </w:p>
    <w:p w14:paraId="6E8AFDC8" w14:textId="77777777" w:rsidR="00B4320F" w:rsidRDefault="00B4320F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4B148DA6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7E177D51" w14:textId="5ED2296C" w:rsidR="000A4D58" w:rsidRPr="00E14D60" w:rsidRDefault="000A4D58" w:rsidP="001254CF">
      <w:pPr>
        <w:jc w:val="both"/>
        <w:rPr>
          <w:rFonts w:ascii="Arial" w:eastAsia="Times New Roman" w:hAnsi="Arial" w:cs="Arial"/>
        </w:rPr>
      </w:pPr>
      <w:r>
        <w:t>-</w:t>
      </w:r>
      <w:r w:rsidR="0081145F" w:rsidRPr="0081145F">
        <w:rPr>
          <w:rFonts w:ascii="Arial" w:eastAsia="Times New Roman" w:hAnsi="Arial" w:cs="Arial"/>
        </w:rPr>
        <w:t xml:space="preserve"> </w:t>
      </w:r>
      <w:r w:rsidR="0081145F">
        <w:rPr>
          <w:rFonts w:ascii="Arial" w:eastAsia="Times New Roman" w:hAnsi="Arial" w:cs="Arial"/>
        </w:rPr>
        <w:t>A</w:t>
      </w:r>
      <w:r w:rsidR="0081145F" w:rsidRPr="00B974CE">
        <w:rPr>
          <w:rFonts w:ascii="Arial" w:eastAsia="Times New Roman" w:hAnsi="Arial" w:cs="Arial"/>
        </w:rPr>
        <w:t>rtículos 21 de la Constitución Federal, 122 BIS y 122 TER de la Constitución Política del Estado Libre</w:t>
      </w:r>
      <w:r w:rsidR="00E855C2">
        <w:rPr>
          <w:rFonts w:ascii="Arial" w:eastAsia="Times New Roman" w:hAnsi="Arial" w:cs="Arial"/>
        </w:rPr>
        <w:t xml:space="preserve"> y Soberano de San Luis Potosí; </w:t>
      </w:r>
      <w:r w:rsidR="00E14D60" w:rsidRPr="00E82D0B">
        <w:rPr>
          <w:rFonts w:ascii="Arial" w:eastAsia="Times New Roman" w:hAnsi="Arial" w:cs="Arial"/>
          <w:sz w:val="24"/>
          <w:szCs w:val="24"/>
        </w:rPr>
        <w:t>10, fracción, II, inciso a)</w:t>
      </w:r>
      <w:r w:rsidR="00E14D60">
        <w:rPr>
          <w:rFonts w:ascii="Arial" w:eastAsia="Times New Roman" w:hAnsi="Arial" w:cs="Arial"/>
          <w:sz w:val="24"/>
          <w:szCs w:val="24"/>
        </w:rPr>
        <w:t xml:space="preserve"> y </w:t>
      </w:r>
      <w:r w:rsidR="0081145F" w:rsidRPr="00B974CE">
        <w:rPr>
          <w:rFonts w:ascii="Arial" w:eastAsia="Times New Roman" w:hAnsi="Arial" w:cs="Arial"/>
        </w:rPr>
        <w:t>51 de la Ley Orgánica de la Fiscalía General del Estado</w:t>
      </w:r>
      <w:r w:rsidR="00E14D60">
        <w:rPr>
          <w:rFonts w:ascii="Arial" w:eastAsia="Times New Roman" w:hAnsi="Arial" w:cs="Arial"/>
        </w:rPr>
        <w:t>; 14,</w:t>
      </w:r>
      <w:r w:rsidR="0081145F">
        <w:rPr>
          <w:rFonts w:ascii="Arial" w:eastAsia="Times New Roman" w:hAnsi="Arial" w:cs="Arial"/>
        </w:rPr>
        <w:t xml:space="preserve"> fracción</w:t>
      </w:r>
      <w:r w:rsidR="00E14D60">
        <w:rPr>
          <w:rFonts w:ascii="Arial" w:eastAsia="Times New Roman" w:hAnsi="Arial" w:cs="Arial"/>
        </w:rPr>
        <w:t xml:space="preserve"> XIII, XIV y XV, </w:t>
      </w:r>
      <w:r w:rsidR="0081145F">
        <w:rPr>
          <w:rFonts w:ascii="Arial" w:eastAsia="Times New Roman" w:hAnsi="Arial" w:cs="Arial"/>
        </w:rPr>
        <w:t xml:space="preserve"> </w:t>
      </w:r>
      <w:r w:rsidR="0081145F" w:rsidRPr="00B974CE">
        <w:rPr>
          <w:rFonts w:ascii="Arial" w:eastAsia="Times New Roman" w:hAnsi="Arial" w:cs="Arial"/>
        </w:rPr>
        <w:t>16 del Reglamento Interno de la Fiscalía General del Estado, en relación con el ordinal 10 punto 3, del tratado de Extradición celebrado entre los Estados Unidos Mexicanos y los Estados Unidos de América, así como lo establecido con el numeral 16 de la Ley de Extradición Internacional</w:t>
      </w:r>
      <w:r w:rsidR="001254CF">
        <w:rPr>
          <w:rFonts w:ascii="Arial" w:eastAsia="Times New Roman" w:hAnsi="Arial" w:cs="Arial"/>
        </w:rPr>
        <w:t xml:space="preserve">, Reglamento de Interpol. </w:t>
      </w:r>
    </w:p>
    <w:p w14:paraId="662F873B" w14:textId="77777777" w:rsidR="000A4D58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 xml:space="preserve">. </w:t>
      </w:r>
    </w:p>
    <w:p w14:paraId="1D7203A9" w14:textId="13305982" w:rsidR="00BF7DBB" w:rsidRDefault="001C722D" w:rsidP="00BF7D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</w:rPr>
        <w:t>Los datos personales y los que deriven de esta gestión, son transmitidos únicamente con el fin de identificación para el ejercicio de las funciones, por lo que son debidamente protegidos</w:t>
      </w:r>
      <w:r>
        <w:rPr>
          <w:rFonts w:ascii="Arial" w:eastAsia="Times New Roman" w:hAnsi="Arial" w:cs="Arial"/>
        </w:rPr>
        <w:t xml:space="preserve">, conforme </w:t>
      </w:r>
      <w:r>
        <w:rPr>
          <w:rFonts w:ascii="Arial" w:eastAsia="Times New Roman" w:hAnsi="Arial" w:cs="Arial"/>
        </w:rPr>
        <w:t>l</w:t>
      </w:r>
      <w:r w:rsidR="00BF7DBB" w:rsidRPr="00BF7DBB">
        <w:rPr>
          <w:rFonts w:ascii="Arial" w:eastAsia="Times New Roman" w:hAnsi="Arial" w:cs="Arial"/>
        </w:rPr>
        <w:t xml:space="preserve">o dispuesto por el artículo </w:t>
      </w:r>
      <w:r w:rsidR="00BF7DBB" w:rsidRPr="00E923B9">
        <w:rPr>
          <w:rFonts w:ascii="Arial" w:hAnsi="Arial" w:cs="Arial"/>
          <w:sz w:val="24"/>
          <w:szCs w:val="24"/>
        </w:rPr>
        <w:t>98 fracción II y III de la Ley de Protección de Datos Personales en Posesión de los Sujetos Obligados del Estado de San Luis Potosí</w:t>
      </w:r>
      <w:r w:rsidR="00BF7DBB">
        <w:rPr>
          <w:rFonts w:ascii="Arial" w:hAnsi="Arial" w:cs="Arial"/>
          <w:sz w:val="24"/>
          <w:szCs w:val="24"/>
        </w:rPr>
        <w:t>.</w:t>
      </w:r>
    </w:p>
    <w:p w14:paraId="66D778CE" w14:textId="6F5B5252" w:rsidR="009B51AA" w:rsidRPr="000B4E7A" w:rsidRDefault="009627E0" w:rsidP="00BF7DBB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585A1B" w14:paraId="5F394B7A" w14:textId="77777777" w:rsidTr="00B4320F">
        <w:tc>
          <w:tcPr>
            <w:tcW w:w="4786" w:type="dxa"/>
          </w:tcPr>
          <w:p w14:paraId="0A4BFBB7" w14:textId="77777777" w:rsidR="000A4D58" w:rsidRPr="0097013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70137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97013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70137">
              <w:rPr>
                <w:b/>
              </w:rPr>
              <w:t>Datos personales sensibles</w:t>
            </w:r>
          </w:p>
        </w:tc>
      </w:tr>
      <w:tr w:rsidR="00043CDE" w:rsidRPr="00585A1B" w14:paraId="0025230D" w14:textId="77777777" w:rsidTr="00B4320F">
        <w:tc>
          <w:tcPr>
            <w:tcW w:w="4786" w:type="dxa"/>
          </w:tcPr>
          <w:p w14:paraId="76A9E7E7" w14:textId="3AB2687A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Nombre y Apellidos </w:t>
            </w:r>
          </w:p>
        </w:tc>
        <w:tc>
          <w:tcPr>
            <w:tcW w:w="4423" w:type="dxa"/>
            <w:vMerge w:val="restart"/>
          </w:tcPr>
          <w:p w14:paraId="6F3284FF" w14:textId="389C046C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Fotografía </w:t>
            </w:r>
          </w:p>
        </w:tc>
      </w:tr>
      <w:tr w:rsidR="00043CDE" w:rsidRPr="00585A1B" w14:paraId="59F44C05" w14:textId="77777777" w:rsidTr="00B4320F">
        <w:tc>
          <w:tcPr>
            <w:tcW w:w="4786" w:type="dxa"/>
          </w:tcPr>
          <w:p w14:paraId="2F7892A9" w14:textId="50B3658F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Posibles domicilios en el extranjero </w:t>
            </w:r>
          </w:p>
        </w:tc>
        <w:tc>
          <w:tcPr>
            <w:tcW w:w="4423" w:type="dxa"/>
            <w:vMerge/>
          </w:tcPr>
          <w:p w14:paraId="3F9F3656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25AC260A" w14:textId="77777777" w:rsidTr="00B4320F">
        <w:tc>
          <w:tcPr>
            <w:tcW w:w="4786" w:type="dxa"/>
          </w:tcPr>
          <w:p w14:paraId="2BA5755E" w14:textId="6EAFBD55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>Clave Única del Registro de Población</w:t>
            </w:r>
          </w:p>
        </w:tc>
        <w:tc>
          <w:tcPr>
            <w:tcW w:w="4423" w:type="dxa"/>
            <w:vMerge/>
          </w:tcPr>
          <w:p w14:paraId="05944F20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67CDD2DE" w14:textId="77777777" w:rsidTr="00B4320F">
        <w:tc>
          <w:tcPr>
            <w:tcW w:w="4786" w:type="dxa"/>
          </w:tcPr>
          <w:p w14:paraId="77319699" w14:textId="145E5B20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Fecha de Nacimiento </w:t>
            </w:r>
          </w:p>
        </w:tc>
        <w:tc>
          <w:tcPr>
            <w:tcW w:w="4423" w:type="dxa"/>
            <w:vMerge/>
          </w:tcPr>
          <w:p w14:paraId="446B69FC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2FE1502E" w14:textId="77777777" w:rsidTr="00B4320F">
        <w:tc>
          <w:tcPr>
            <w:tcW w:w="4786" w:type="dxa"/>
          </w:tcPr>
          <w:p w14:paraId="38D5E19A" w14:textId="56075B86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Nombre y Apellidos de padres  </w:t>
            </w:r>
          </w:p>
        </w:tc>
        <w:tc>
          <w:tcPr>
            <w:tcW w:w="4423" w:type="dxa"/>
            <w:vMerge/>
          </w:tcPr>
          <w:p w14:paraId="003C99B4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05280CA0" w14:textId="77777777" w:rsidTr="00B4320F">
        <w:tc>
          <w:tcPr>
            <w:tcW w:w="4786" w:type="dxa"/>
          </w:tcPr>
          <w:p w14:paraId="092F1493" w14:textId="45E017ED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Lugar de Nacimiento </w:t>
            </w:r>
          </w:p>
        </w:tc>
        <w:tc>
          <w:tcPr>
            <w:tcW w:w="4423" w:type="dxa"/>
            <w:vMerge/>
          </w:tcPr>
          <w:p w14:paraId="6E351308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32AE6040" w14:textId="77777777" w:rsidTr="00B4320F">
        <w:tc>
          <w:tcPr>
            <w:tcW w:w="4786" w:type="dxa"/>
          </w:tcPr>
          <w:p w14:paraId="12BC10C3" w14:textId="7969D9E1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Clave de Elector </w:t>
            </w:r>
          </w:p>
        </w:tc>
        <w:tc>
          <w:tcPr>
            <w:tcW w:w="4423" w:type="dxa"/>
            <w:vMerge/>
          </w:tcPr>
          <w:p w14:paraId="53DBCF59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43CDE" w:rsidRPr="00585A1B" w14:paraId="52C4C165" w14:textId="77777777" w:rsidTr="00B4320F">
        <w:tc>
          <w:tcPr>
            <w:tcW w:w="4786" w:type="dxa"/>
          </w:tcPr>
          <w:p w14:paraId="0782F9A2" w14:textId="4DC6A665" w:rsidR="00043CDE" w:rsidRPr="00970137" w:rsidRDefault="00043CDE" w:rsidP="009627E0">
            <w:pPr>
              <w:pStyle w:val="Prrafodelista"/>
              <w:spacing w:line="276" w:lineRule="auto"/>
              <w:ind w:left="0" w:firstLine="0"/>
              <w:jc w:val="both"/>
            </w:pPr>
            <w:r>
              <w:lastRenderedPageBreak/>
              <w:t xml:space="preserve">Nacionalidad </w:t>
            </w:r>
          </w:p>
        </w:tc>
        <w:tc>
          <w:tcPr>
            <w:tcW w:w="4423" w:type="dxa"/>
            <w:vMerge/>
          </w:tcPr>
          <w:p w14:paraId="46AF6BBB" w14:textId="77777777" w:rsidR="00043CDE" w:rsidRPr="004B0199" w:rsidRDefault="00043CDE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17CA11E" w14:textId="32770E0D" w:rsidR="000B05C1" w:rsidRDefault="000B05C1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043CDE" w:rsidRPr="00585A1B" w14:paraId="0FBFEEC2" w14:textId="77777777" w:rsidTr="00043CDE">
        <w:trPr>
          <w:trHeight w:val="324"/>
        </w:trPr>
        <w:tc>
          <w:tcPr>
            <w:tcW w:w="4523" w:type="dxa"/>
          </w:tcPr>
          <w:p w14:paraId="2A8F6B5D" w14:textId="065B17DD" w:rsidR="00043CDE" w:rsidRPr="00585A1B" w:rsidRDefault="00043CDE" w:rsidP="000B4E7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Unidad de Procedimientos Internacionales</w:t>
            </w:r>
          </w:p>
        </w:tc>
        <w:tc>
          <w:tcPr>
            <w:tcW w:w="4536" w:type="dxa"/>
            <w:vMerge w:val="restart"/>
          </w:tcPr>
          <w:p w14:paraId="78651A60" w14:textId="59B1D214" w:rsidR="00043CDE" w:rsidRPr="00043CDE" w:rsidRDefault="00043CDE" w:rsidP="00043CD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Emisión de Alerta Migratoria, Notificación Roja y procesos de Extradición, así como la atención de informes solicitados por estas autoridades.  </w:t>
            </w:r>
          </w:p>
        </w:tc>
      </w:tr>
      <w:tr w:rsidR="00043CDE" w:rsidRPr="00585A1B" w14:paraId="607BB599" w14:textId="77777777" w:rsidTr="00043CDE">
        <w:trPr>
          <w:trHeight w:val="555"/>
        </w:trPr>
        <w:tc>
          <w:tcPr>
            <w:tcW w:w="4523" w:type="dxa"/>
          </w:tcPr>
          <w:p w14:paraId="46F28C0E" w14:textId="750731E4" w:rsidR="00043CDE" w:rsidRPr="00585A1B" w:rsidRDefault="00043CDE" w:rsidP="000B4E7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Unidad de Asuntos Policiales Internacionales e Interpol</w:t>
            </w:r>
          </w:p>
        </w:tc>
        <w:tc>
          <w:tcPr>
            <w:tcW w:w="4536" w:type="dxa"/>
            <w:vMerge/>
          </w:tcPr>
          <w:p w14:paraId="61F3C93B" w14:textId="77777777" w:rsidR="00043CDE" w:rsidRDefault="00043CDE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43CDE" w:rsidRPr="00585A1B" w14:paraId="7212AF01" w14:textId="77777777" w:rsidTr="000A4D58">
        <w:trPr>
          <w:trHeight w:val="738"/>
        </w:trPr>
        <w:tc>
          <w:tcPr>
            <w:tcW w:w="4523" w:type="dxa"/>
          </w:tcPr>
          <w:p w14:paraId="5557C472" w14:textId="23D6B78B" w:rsidR="00043CDE" w:rsidRPr="00585A1B" w:rsidRDefault="00043CDE" w:rsidP="000B4E7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  <w:vMerge/>
          </w:tcPr>
          <w:p w14:paraId="231830BE" w14:textId="77777777" w:rsidR="00043CDE" w:rsidRDefault="00043CDE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466B050" w14:textId="257C8815" w:rsidR="009627E0" w:rsidRDefault="009627E0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34074F37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8C158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8C158D" w:rsidRPr="00043CD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043CD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="008C158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la Unidad de Transparencia con domicilio en Avenida  Eje Vial, número 100, zona centro, </w:t>
      </w:r>
      <w:r w:rsidR="00CD7150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4E00765F" w14:textId="77777777" w:rsidR="009627E0" w:rsidRPr="00585A1B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08DB41BA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043CDE">
          <w:rPr>
            <w:rStyle w:val="Hipervnculo"/>
            <w:sz w:val="22"/>
            <w:szCs w:val="22"/>
          </w:rPr>
          <w:t>utransparencia@fiscaliaslp.gob.mx</w:t>
        </w:r>
        <w:r w:rsidR="00043CDE" w:rsidRPr="00043CDE">
          <w:rPr>
            <w:rStyle w:val="Hipervnculo"/>
            <w:sz w:val="22"/>
            <w:szCs w:val="22"/>
          </w:rPr>
          <w:t>.</w:t>
        </w:r>
      </w:hyperlink>
      <w:r w:rsidRPr="00585A1B">
        <w:rPr>
          <w:sz w:val="22"/>
          <w:szCs w:val="22"/>
        </w:rPr>
        <w:t xml:space="preserve">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657A67D3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Domicilio: Avenida. Eje Vial Ponciano Arriaga, número 100, Zona Centr</w:t>
      </w:r>
      <w:r w:rsidR="00CD7150">
        <w:rPr>
          <w:sz w:val="22"/>
          <w:szCs w:val="22"/>
        </w:rPr>
        <w:t>o, San Luis Potosí, S</w:t>
      </w:r>
      <w:r w:rsidR="00AF1CD5">
        <w:rPr>
          <w:sz w:val="22"/>
          <w:szCs w:val="22"/>
        </w:rPr>
        <w:t>an Luis Potosí,</w:t>
      </w:r>
      <w:r w:rsidR="00CD7150">
        <w:rPr>
          <w:sz w:val="22"/>
          <w:szCs w:val="22"/>
        </w:rPr>
        <w:t xml:space="preserve"> </w:t>
      </w:r>
      <w:r w:rsidR="00043CDE">
        <w:rPr>
          <w:sz w:val="22"/>
          <w:szCs w:val="22"/>
        </w:rPr>
        <w:t>C</w:t>
      </w:r>
      <w:r w:rsidR="00CD7150">
        <w:rPr>
          <w:sz w:val="22"/>
          <w:szCs w:val="22"/>
        </w:rPr>
        <w:t>ódigo postal</w:t>
      </w:r>
      <w:r w:rsidRPr="00585A1B">
        <w:rPr>
          <w:sz w:val="22"/>
          <w:szCs w:val="22"/>
        </w:rPr>
        <w:t xml:space="preserve"> 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2928019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10" w:history="1">
        <w:r w:rsidR="00043CDE" w:rsidRPr="00C70052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3F51487E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5E752A93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8C158D">
        <w:rPr>
          <w:sz w:val="22"/>
          <w:szCs w:val="22"/>
        </w:rPr>
        <w:t xml:space="preserve"> Dirección Jurídica</w:t>
      </w:r>
      <w:r w:rsidRPr="00585A1B">
        <w:rPr>
          <w:sz w:val="22"/>
          <w:szCs w:val="22"/>
        </w:rPr>
        <w:t xml:space="preserve">, o bien directamente en la siguiente liga </w:t>
      </w:r>
      <w:hyperlink r:id="rId11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2A7556F0" w14:textId="40E67CF6" w:rsidR="00043CDE" w:rsidRDefault="00043CDE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6554ADB3" w14:textId="77777777" w:rsidR="001C722D" w:rsidRDefault="001C722D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2" w:name="_GoBack"/>
      <w:bookmarkEnd w:id="2"/>
    </w:p>
    <w:p w14:paraId="22AF0943" w14:textId="779015F2" w:rsidR="000A4D58" w:rsidRPr="0036567F" w:rsidRDefault="000A4D58" w:rsidP="008C158D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657B0E01" w14:textId="77777777" w:rsidR="00CD715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033D65E7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Default="000B05C1" w:rsidP="000B05C1">
      <w:pPr>
        <w:rPr>
          <w:sz w:val="20"/>
          <w:szCs w:val="20"/>
          <w:lang w:val="es-ES"/>
        </w:rPr>
      </w:pPr>
    </w:p>
    <w:p w14:paraId="253114A1" w14:textId="4D41E5C5" w:rsidR="000B05C1" w:rsidRPr="00043CDE" w:rsidRDefault="00043CDE" w:rsidP="00043CDE">
      <w:pPr>
        <w:jc w:val="right"/>
        <w:rPr>
          <w:rFonts w:ascii="Arial" w:hAnsi="Arial" w:cs="Arial"/>
          <w:szCs w:val="20"/>
          <w:lang w:val="es-ES"/>
        </w:rPr>
      </w:pPr>
      <w:r w:rsidRPr="00043CDE">
        <w:rPr>
          <w:rFonts w:ascii="Arial" w:hAnsi="Arial" w:cs="Arial"/>
          <w:szCs w:val="20"/>
          <w:lang w:val="es-ES"/>
        </w:rPr>
        <w:t>Fecha de última actualización: 01 de enero 2026</w:t>
      </w: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970137">
      <w:headerReference w:type="default" r:id="rId12"/>
      <w:pgSz w:w="12242" w:h="19267" w:code="309"/>
      <w:pgMar w:top="2552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8D14" w14:textId="77777777" w:rsidR="001339B3" w:rsidRDefault="001339B3" w:rsidP="0001014E">
      <w:pPr>
        <w:spacing w:after="0" w:line="240" w:lineRule="auto"/>
      </w:pPr>
      <w:r>
        <w:separator/>
      </w:r>
    </w:p>
  </w:endnote>
  <w:endnote w:type="continuationSeparator" w:id="0">
    <w:p w14:paraId="029A4C79" w14:textId="77777777" w:rsidR="001339B3" w:rsidRDefault="001339B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47A0D" w14:textId="77777777" w:rsidR="001339B3" w:rsidRDefault="001339B3" w:rsidP="0001014E">
      <w:pPr>
        <w:spacing w:after="0" w:line="240" w:lineRule="auto"/>
      </w:pPr>
      <w:r>
        <w:separator/>
      </w:r>
    </w:p>
  </w:footnote>
  <w:footnote w:type="continuationSeparator" w:id="0">
    <w:p w14:paraId="6192A512" w14:textId="77777777" w:rsidR="001339B3" w:rsidRDefault="001339B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43CDE"/>
    <w:rsid w:val="00061573"/>
    <w:rsid w:val="000A4D58"/>
    <w:rsid w:val="000B05C1"/>
    <w:rsid w:val="000B1573"/>
    <w:rsid w:val="000B4E7A"/>
    <w:rsid w:val="000C6F1D"/>
    <w:rsid w:val="00121653"/>
    <w:rsid w:val="001254CF"/>
    <w:rsid w:val="001339B3"/>
    <w:rsid w:val="001917C5"/>
    <w:rsid w:val="001B5345"/>
    <w:rsid w:val="001C722D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57B3A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5E93"/>
    <w:rsid w:val="006B0902"/>
    <w:rsid w:val="006C1A8C"/>
    <w:rsid w:val="006D5DB6"/>
    <w:rsid w:val="006E05D4"/>
    <w:rsid w:val="006F11A7"/>
    <w:rsid w:val="0071219F"/>
    <w:rsid w:val="00755596"/>
    <w:rsid w:val="007C06D4"/>
    <w:rsid w:val="007C3B11"/>
    <w:rsid w:val="0081145F"/>
    <w:rsid w:val="008519B7"/>
    <w:rsid w:val="00856110"/>
    <w:rsid w:val="00887DA2"/>
    <w:rsid w:val="008A4838"/>
    <w:rsid w:val="008B468D"/>
    <w:rsid w:val="008C158D"/>
    <w:rsid w:val="008C6982"/>
    <w:rsid w:val="00940415"/>
    <w:rsid w:val="00943EA7"/>
    <w:rsid w:val="00945445"/>
    <w:rsid w:val="009538C3"/>
    <w:rsid w:val="009616E6"/>
    <w:rsid w:val="009627E0"/>
    <w:rsid w:val="00970137"/>
    <w:rsid w:val="009815CB"/>
    <w:rsid w:val="009B51AA"/>
    <w:rsid w:val="009F19EC"/>
    <w:rsid w:val="009F617A"/>
    <w:rsid w:val="00A03270"/>
    <w:rsid w:val="00A47FB3"/>
    <w:rsid w:val="00A54E39"/>
    <w:rsid w:val="00A566B0"/>
    <w:rsid w:val="00A6186E"/>
    <w:rsid w:val="00A75D65"/>
    <w:rsid w:val="00AF1CD5"/>
    <w:rsid w:val="00B231DD"/>
    <w:rsid w:val="00B4320F"/>
    <w:rsid w:val="00B46BB3"/>
    <w:rsid w:val="00B85532"/>
    <w:rsid w:val="00BA5C6E"/>
    <w:rsid w:val="00BD4175"/>
    <w:rsid w:val="00BF3A05"/>
    <w:rsid w:val="00BF7DBB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D7150"/>
    <w:rsid w:val="00CF1501"/>
    <w:rsid w:val="00D00C71"/>
    <w:rsid w:val="00D318CE"/>
    <w:rsid w:val="00D625D8"/>
    <w:rsid w:val="00D743C5"/>
    <w:rsid w:val="00DD510F"/>
    <w:rsid w:val="00E14D60"/>
    <w:rsid w:val="00E24C11"/>
    <w:rsid w:val="00E270A8"/>
    <w:rsid w:val="00E6015A"/>
    <w:rsid w:val="00E8438F"/>
    <w:rsid w:val="00E851E0"/>
    <w:rsid w:val="00E855C2"/>
    <w:rsid w:val="00E92685"/>
    <w:rsid w:val="00E93766"/>
    <w:rsid w:val="00EA6B02"/>
    <w:rsid w:val="00EC061B"/>
    <w:rsid w:val="00EE0083"/>
    <w:rsid w:val="00EE5590"/>
    <w:rsid w:val="00F33BEC"/>
    <w:rsid w:val="00F42CFF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0B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E7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direccion.juridic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.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13</cp:revision>
  <cp:lastPrinted>2025-12-15T20:13:00Z</cp:lastPrinted>
  <dcterms:created xsi:type="dcterms:W3CDTF">2025-09-23T14:39:00Z</dcterms:created>
  <dcterms:modified xsi:type="dcterms:W3CDTF">2026-01-09T20:36:00Z</dcterms:modified>
</cp:coreProperties>
</file>